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007B" w14:textId="2D384935" w:rsidR="00C67B3C" w:rsidRPr="00E77558" w:rsidRDefault="004125B8" w:rsidP="00C67B3C">
      <w:pPr>
        <w:jc w:val="center"/>
        <w:rPr>
          <w:rFonts w:ascii="Garamond" w:hAnsi="Garamond"/>
        </w:rPr>
      </w:pPr>
      <w:r w:rsidRPr="00E77558">
        <w:rPr>
          <w:rFonts w:ascii="Garamond" w:hAnsi="Garamond"/>
        </w:rPr>
        <w:t>Must Epistemic Values Conflict?</w:t>
      </w:r>
    </w:p>
    <w:p w14:paraId="274E70A5" w14:textId="5BCEC139" w:rsidR="00C67B3C" w:rsidRPr="00E77558" w:rsidRDefault="00C67B3C" w:rsidP="00C67B3C">
      <w:pPr>
        <w:jc w:val="center"/>
        <w:rPr>
          <w:rFonts w:ascii="Garamond" w:hAnsi="Garamond"/>
          <w:i/>
          <w:iCs/>
        </w:rPr>
      </w:pPr>
      <w:proofErr w:type="spellStart"/>
      <w:r w:rsidRPr="00E77558">
        <w:rPr>
          <w:rFonts w:ascii="Garamond" w:hAnsi="Garamond"/>
          <w:i/>
          <w:iCs/>
        </w:rPr>
        <w:t>Umrao</w:t>
      </w:r>
      <w:proofErr w:type="spellEnd"/>
      <w:r w:rsidRPr="00E77558">
        <w:rPr>
          <w:rFonts w:ascii="Garamond" w:hAnsi="Garamond"/>
          <w:i/>
          <w:iCs/>
        </w:rPr>
        <w:t xml:space="preserve"> Sethi</w:t>
      </w:r>
    </w:p>
    <w:p w14:paraId="74B1824F" w14:textId="77777777" w:rsidR="00C64778" w:rsidRPr="00E77558" w:rsidRDefault="00C64778">
      <w:pPr>
        <w:rPr>
          <w:rFonts w:ascii="Garamond" w:hAnsi="Garamond"/>
        </w:rPr>
      </w:pPr>
    </w:p>
    <w:p w14:paraId="38B94453" w14:textId="225C18FB" w:rsidR="002210EA" w:rsidRPr="00E77558" w:rsidRDefault="000E619F" w:rsidP="002210EA">
      <w:pPr>
        <w:rPr>
          <w:rFonts w:ascii="Garamond" w:hAnsi="Garamond"/>
        </w:rPr>
      </w:pPr>
      <w:r w:rsidRPr="00E77558">
        <w:rPr>
          <w:rFonts w:ascii="Garamond" w:hAnsi="Garamond"/>
        </w:rPr>
        <w:t xml:space="preserve">In his </w:t>
      </w:r>
      <w:r w:rsidR="00415AC5" w:rsidRPr="00E77558">
        <w:rPr>
          <w:rFonts w:ascii="Garamond" w:hAnsi="Garamond"/>
        </w:rPr>
        <w:t xml:space="preserve">rich and expansive </w:t>
      </w:r>
      <w:r w:rsidRPr="00E77558">
        <w:rPr>
          <w:rFonts w:ascii="Garamond" w:hAnsi="Garamond"/>
        </w:rPr>
        <w:t xml:space="preserve">paper, </w:t>
      </w:r>
      <w:r w:rsidR="00A56E37" w:rsidRPr="00E77558">
        <w:rPr>
          <w:rFonts w:ascii="Garamond" w:hAnsi="Garamond"/>
        </w:rPr>
        <w:t xml:space="preserve">Wright </w:t>
      </w:r>
      <w:r w:rsidR="00214044" w:rsidRPr="00E77558">
        <w:rPr>
          <w:rFonts w:ascii="Garamond" w:hAnsi="Garamond"/>
        </w:rPr>
        <w:t>argues that</w:t>
      </w:r>
      <w:r w:rsidR="00A56E37" w:rsidRPr="00E77558">
        <w:rPr>
          <w:rFonts w:ascii="Garamond" w:hAnsi="Garamond"/>
        </w:rPr>
        <w:t xml:space="preserve"> </w:t>
      </w:r>
      <w:r w:rsidR="00F630BA" w:rsidRPr="00E77558">
        <w:rPr>
          <w:rFonts w:ascii="Garamond" w:hAnsi="Garamond"/>
        </w:rPr>
        <w:t xml:space="preserve">the introduction of </w:t>
      </w:r>
      <w:r w:rsidR="002210EA" w:rsidRPr="00E77558">
        <w:rPr>
          <w:rFonts w:ascii="Garamond" w:hAnsi="Garamond"/>
        </w:rPr>
        <w:t>skeptical scenarios do</w:t>
      </w:r>
      <w:r w:rsidR="00F630BA" w:rsidRPr="00E77558">
        <w:rPr>
          <w:rFonts w:ascii="Garamond" w:hAnsi="Garamond"/>
        </w:rPr>
        <w:t>es</w:t>
      </w:r>
      <w:r w:rsidR="002210EA" w:rsidRPr="00E77558">
        <w:rPr>
          <w:rFonts w:ascii="Garamond" w:hAnsi="Garamond"/>
        </w:rPr>
        <w:t xml:space="preserve"> not move the needle in the debate between internalist and externalist accounts of perceptual justification. </w:t>
      </w:r>
      <w:r w:rsidR="008C0835" w:rsidRPr="00E77558">
        <w:rPr>
          <w:rFonts w:ascii="Garamond" w:hAnsi="Garamond"/>
        </w:rPr>
        <w:t xml:space="preserve">To </w:t>
      </w:r>
      <w:r w:rsidR="00EF1E38" w:rsidRPr="00E77558">
        <w:rPr>
          <w:rFonts w:ascii="Garamond" w:hAnsi="Garamond"/>
        </w:rPr>
        <w:t xml:space="preserve">evaluate whether a subject in a skeptical scenario is justified, we need to evaluate the relative importance of different epistemic values. </w:t>
      </w:r>
      <w:r w:rsidR="00615D2A" w:rsidRPr="00E77558">
        <w:rPr>
          <w:rFonts w:ascii="Garamond" w:hAnsi="Garamond"/>
        </w:rPr>
        <w:t xml:space="preserve">But the disagreement between the internalist and externalist can be traced back to a difference in which epistemic values they prioritize. </w:t>
      </w:r>
      <w:proofErr w:type="spellStart"/>
      <w:r w:rsidR="002210EA" w:rsidRPr="00E77558">
        <w:rPr>
          <w:rFonts w:ascii="Garamond" w:hAnsi="Garamond"/>
        </w:rPr>
        <w:t>Internalists</w:t>
      </w:r>
      <w:proofErr w:type="spellEnd"/>
      <w:r w:rsidR="00F630BA" w:rsidRPr="00E77558">
        <w:rPr>
          <w:rFonts w:ascii="Garamond" w:hAnsi="Garamond"/>
        </w:rPr>
        <w:t xml:space="preserve">, who value rational coherence, </w:t>
      </w:r>
      <w:r w:rsidR="008C0835" w:rsidRPr="00E77558">
        <w:rPr>
          <w:rFonts w:ascii="Garamond" w:hAnsi="Garamond"/>
        </w:rPr>
        <w:t xml:space="preserve">argue that an agent </w:t>
      </w:r>
      <w:r w:rsidR="00F630BA" w:rsidRPr="00E77558">
        <w:rPr>
          <w:rFonts w:ascii="Garamond" w:hAnsi="Garamond"/>
        </w:rPr>
        <w:t xml:space="preserve">in a skeptical scenario </w:t>
      </w:r>
      <w:r w:rsidR="008C0835" w:rsidRPr="00E77558">
        <w:rPr>
          <w:rFonts w:ascii="Garamond" w:hAnsi="Garamond"/>
        </w:rPr>
        <w:t xml:space="preserve">ought to align her beliefs with </w:t>
      </w:r>
      <w:r w:rsidR="00B82D4B" w:rsidRPr="00E77558">
        <w:rPr>
          <w:rFonts w:ascii="Garamond" w:hAnsi="Garamond"/>
        </w:rPr>
        <w:t>her</w:t>
      </w:r>
      <w:r w:rsidR="008C0835" w:rsidRPr="00E77558">
        <w:rPr>
          <w:rFonts w:ascii="Garamond" w:hAnsi="Garamond"/>
        </w:rPr>
        <w:t xml:space="preserve"> evidenc</w:t>
      </w:r>
      <w:r w:rsidR="00F630BA" w:rsidRPr="00E77558">
        <w:rPr>
          <w:rFonts w:ascii="Garamond" w:hAnsi="Garamond"/>
        </w:rPr>
        <w:t xml:space="preserve">e, and therefore </w:t>
      </w:r>
      <w:r w:rsidR="00F630BA" w:rsidRPr="00E77558">
        <w:rPr>
          <w:rFonts w:ascii="Garamond" w:hAnsi="Garamond"/>
          <w:i/>
          <w:iCs/>
        </w:rPr>
        <w:t>ought</w:t>
      </w:r>
      <w:r w:rsidR="00F630BA" w:rsidRPr="00E77558">
        <w:rPr>
          <w:rFonts w:ascii="Garamond" w:hAnsi="Garamond"/>
        </w:rPr>
        <w:t xml:space="preserve"> to believe that the world is as it seems. Externalist</w:t>
      </w:r>
      <w:r w:rsidR="008C0835" w:rsidRPr="00E77558">
        <w:rPr>
          <w:rFonts w:ascii="Garamond" w:hAnsi="Garamond"/>
        </w:rPr>
        <w:t>s</w:t>
      </w:r>
      <w:r w:rsidR="00F630BA" w:rsidRPr="00E77558">
        <w:rPr>
          <w:rFonts w:ascii="Garamond" w:hAnsi="Garamond"/>
        </w:rPr>
        <w:t>,</w:t>
      </w:r>
      <w:r w:rsidR="008C0835" w:rsidRPr="00E77558">
        <w:rPr>
          <w:rFonts w:ascii="Garamond" w:hAnsi="Garamond"/>
        </w:rPr>
        <w:t xml:space="preserve"> who </w:t>
      </w:r>
      <w:r w:rsidR="002210EA" w:rsidRPr="00E77558">
        <w:rPr>
          <w:rFonts w:ascii="Garamond" w:hAnsi="Garamond"/>
        </w:rPr>
        <w:t>value the acquisition of knowledge</w:t>
      </w:r>
      <w:r w:rsidR="00F630BA" w:rsidRPr="00E77558">
        <w:rPr>
          <w:rFonts w:ascii="Garamond" w:hAnsi="Garamond"/>
        </w:rPr>
        <w:t xml:space="preserve">, argue that an agent in a skeptical situation </w:t>
      </w:r>
      <w:r w:rsidR="00F630BA" w:rsidRPr="00E77558">
        <w:rPr>
          <w:rFonts w:ascii="Garamond" w:hAnsi="Garamond"/>
          <w:i/>
          <w:iCs/>
        </w:rPr>
        <w:t>ought not</w:t>
      </w:r>
      <w:r w:rsidR="00F630BA" w:rsidRPr="00E77558">
        <w:rPr>
          <w:rFonts w:ascii="Garamond" w:hAnsi="Garamond"/>
        </w:rPr>
        <w:t xml:space="preserve"> believe that the world is as it seems because doing so will lead her into error.</w:t>
      </w:r>
    </w:p>
    <w:p w14:paraId="43F00521" w14:textId="0E1CD250" w:rsidR="002210EA" w:rsidRPr="00E77558" w:rsidRDefault="002210EA">
      <w:pPr>
        <w:rPr>
          <w:rFonts w:ascii="Garamond" w:hAnsi="Garamond"/>
        </w:rPr>
      </w:pPr>
    </w:p>
    <w:p w14:paraId="2C105D43" w14:textId="7FE6A818" w:rsidR="00F25B72" w:rsidRPr="00E77558" w:rsidRDefault="001F64F8" w:rsidP="00F25B72">
      <w:pPr>
        <w:rPr>
          <w:rFonts w:ascii="Garamond" w:hAnsi="Garamond"/>
        </w:rPr>
      </w:pPr>
      <w:r w:rsidRPr="00E77558">
        <w:rPr>
          <w:rFonts w:ascii="Garamond" w:hAnsi="Garamond"/>
        </w:rPr>
        <w:t xml:space="preserve">I think Wright is correct that if we conceive of the situation </w:t>
      </w:r>
      <w:r w:rsidR="00FA2395" w:rsidRPr="00E77558">
        <w:rPr>
          <w:rFonts w:ascii="Garamond" w:hAnsi="Garamond"/>
        </w:rPr>
        <w:t>thusly</w:t>
      </w:r>
      <w:r w:rsidRPr="00E77558">
        <w:rPr>
          <w:rFonts w:ascii="Garamond" w:hAnsi="Garamond"/>
        </w:rPr>
        <w:t xml:space="preserve">, </w:t>
      </w:r>
      <w:r w:rsidR="00B82D4B" w:rsidRPr="00E77558">
        <w:rPr>
          <w:rFonts w:ascii="Garamond" w:hAnsi="Garamond"/>
        </w:rPr>
        <w:t>we arrive</w:t>
      </w:r>
      <w:r w:rsidR="00DD51E7" w:rsidRPr="00E77558">
        <w:rPr>
          <w:rFonts w:ascii="Garamond" w:hAnsi="Garamond"/>
        </w:rPr>
        <w:t xml:space="preserve"> at something of a standstill</w:t>
      </w:r>
      <w:r w:rsidR="00B82D4B" w:rsidRPr="00E77558">
        <w:rPr>
          <w:rFonts w:ascii="Garamond" w:hAnsi="Garamond"/>
        </w:rPr>
        <w:t xml:space="preserve">. </w:t>
      </w:r>
      <w:r w:rsidRPr="00E77558">
        <w:rPr>
          <w:rFonts w:ascii="Garamond" w:hAnsi="Garamond"/>
        </w:rPr>
        <w:t xml:space="preserve">But in </w:t>
      </w:r>
      <w:r w:rsidR="00F630BA" w:rsidRPr="00E77558">
        <w:rPr>
          <w:rFonts w:ascii="Garamond" w:hAnsi="Garamond"/>
        </w:rPr>
        <w:t>these comments</w:t>
      </w:r>
      <w:r w:rsidRPr="00E77558">
        <w:rPr>
          <w:rFonts w:ascii="Garamond" w:hAnsi="Garamond"/>
        </w:rPr>
        <w:t xml:space="preserve">, I want to suggest that </w:t>
      </w:r>
      <w:r w:rsidR="00CE2235" w:rsidRPr="00E77558">
        <w:rPr>
          <w:rFonts w:ascii="Garamond" w:hAnsi="Garamond"/>
        </w:rPr>
        <w:t>reframing some aspects of the dialectic reveal</w:t>
      </w:r>
      <w:r w:rsidR="00415AC5" w:rsidRPr="00E77558">
        <w:rPr>
          <w:rFonts w:ascii="Garamond" w:hAnsi="Garamond"/>
        </w:rPr>
        <w:t>s</w:t>
      </w:r>
      <w:r w:rsidR="00CE2235" w:rsidRPr="00E77558">
        <w:rPr>
          <w:rFonts w:ascii="Garamond" w:hAnsi="Garamond"/>
        </w:rPr>
        <w:t xml:space="preserve"> options that Wright does not consider. </w:t>
      </w:r>
      <w:r w:rsidR="00976B61" w:rsidRPr="00E77558">
        <w:rPr>
          <w:rFonts w:ascii="Garamond" w:hAnsi="Garamond"/>
        </w:rPr>
        <w:t>Crucially, Wright seems to presuppose that an internalist (or externalist) view of justification goes hand in hand with an internalist (or externalist) view of perceptual experience</w:t>
      </w:r>
      <w:r w:rsidR="009E29E4" w:rsidRPr="00E77558">
        <w:rPr>
          <w:rFonts w:ascii="Garamond" w:hAnsi="Garamond"/>
        </w:rPr>
        <w:t>.</w:t>
      </w:r>
      <w:r w:rsidR="00976B61" w:rsidRPr="00E77558">
        <w:rPr>
          <w:rFonts w:ascii="Garamond" w:hAnsi="Garamond"/>
        </w:rPr>
        <w:t xml:space="preserve"> </w:t>
      </w:r>
      <w:r w:rsidR="00C93BED" w:rsidRPr="00E77558">
        <w:rPr>
          <w:rFonts w:ascii="Garamond" w:hAnsi="Garamond"/>
        </w:rPr>
        <w:t>He describes the internalist as committed to the thesis that “</w:t>
      </w:r>
      <w:r w:rsidR="00C93BED" w:rsidRPr="00E77558">
        <w:rPr>
          <w:rFonts w:ascii="Garamond" w:hAnsi="Garamond"/>
          <w:lang w:val="en-GB"/>
        </w:rPr>
        <w:t>doxastic justification is conferred on a (perceptual) belief by other (</w:t>
      </w:r>
      <w:r w:rsidR="00C93BED" w:rsidRPr="00E77558">
        <w:rPr>
          <w:rFonts w:ascii="Garamond" w:hAnsi="Garamond"/>
          <w:i/>
          <w:iCs/>
          <w:lang w:val="en-GB"/>
        </w:rPr>
        <w:t>narrow</w:t>
      </w:r>
      <w:r w:rsidR="00C93BED" w:rsidRPr="00E77558">
        <w:rPr>
          <w:rFonts w:ascii="Garamond" w:hAnsi="Garamond"/>
          <w:lang w:val="en-GB"/>
        </w:rPr>
        <w:t>) phenomenal states of the subject.”</w:t>
      </w:r>
      <w:r w:rsidR="003052B2" w:rsidRPr="00E77558">
        <w:rPr>
          <w:rStyle w:val="FootnoteReference"/>
          <w:rFonts w:ascii="Garamond" w:hAnsi="Garamond"/>
          <w:lang w:val="en-GB"/>
        </w:rPr>
        <w:footnoteReference w:id="1"/>
      </w:r>
      <w:r w:rsidR="00C93BED" w:rsidRPr="00E77558">
        <w:rPr>
          <w:rFonts w:ascii="Garamond" w:hAnsi="Garamond"/>
          <w:lang w:val="en-GB"/>
        </w:rPr>
        <w:t xml:space="preserve"> </w:t>
      </w:r>
      <w:r w:rsidR="00CE2235" w:rsidRPr="00E77558">
        <w:rPr>
          <w:rFonts w:ascii="Garamond" w:hAnsi="Garamond"/>
          <w:lang w:val="en-GB"/>
        </w:rPr>
        <w:t xml:space="preserve">Similarly, </w:t>
      </w:r>
      <w:r w:rsidR="00CE2235" w:rsidRPr="00E77558">
        <w:rPr>
          <w:rFonts w:ascii="Garamond" w:hAnsi="Garamond"/>
        </w:rPr>
        <w:t>w</w:t>
      </w:r>
      <w:r w:rsidR="00242F5E" w:rsidRPr="00E77558">
        <w:rPr>
          <w:rFonts w:ascii="Garamond" w:hAnsi="Garamond"/>
        </w:rPr>
        <w:t>hen developing the externalist’s view, h</w:t>
      </w:r>
      <w:r w:rsidR="00F25B72" w:rsidRPr="00E77558">
        <w:rPr>
          <w:rFonts w:ascii="Garamond" w:hAnsi="Garamond"/>
        </w:rPr>
        <w:t>e writes:</w:t>
      </w:r>
    </w:p>
    <w:p w14:paraId="0AD6AADC" w14:textId="77777777" w:rsidR="00F25B72" w:rsidRPr="00E77558" w:rsidRDefault="00F25B72" w:rsidP="00F25B72">
      <w:pPr>
        <w:rPr>
          <w:rFonts w:ascii="Garamond" w:hAnsi="Garamond"/>
        </w:rPr>
      </w:pPr>
    </w:p>
    <w:p w14:paraId="68657364" w14:textId="076EE29B" w:rsidR="00F25B72" w:rsidRPr="00E77558" w:rsidRDefault="00F25B72" w:rsidP="00F25B72">
      <w:pPr>
        <w:ind w:left="360" w:right="360"/>
        <w:rPr>
          <w:rFonts w:ascii="Garamond" w:hAnsi="Garamond"/>
          <w:lang w:val="en-GB"/>
        </w:rPr>
      </w:pPr>
      <w:r w:rsidRPr="00E77558">
        <w:rPr>
          <w:rFonts w:ascii="Garamond" w:hAnsi="Garamond"/>
          <w:lang w:val="en-GB"/>
        </w:rPr>
        <w:t xml:space="preserve">Bear in mind, however, that we are seeking an </w:t>
      </w:r>
      <w:r w:rsidRPr="00E77558">
        <w:rPr>
          <w:rFonts w:ascii="Garamond" w:hAnsi="Garamond"/>
          <w:i/>
          <w:lang w:val="en-GB"/>
        </w:rPr>
        <w:t>externalist</w:t>
      </w:r>
      <w:r w:rsidRPr="00E77558">
        <w:rPr>
          <w:rFonts w:ascii="Garamond" w:hAnsi="Garamond"/>
          <w:lang w:val="en-GB"/>
        </w:rPr>
        <w:t xml:space="preserve"> conception of perceptual justification. So how should registration states</w:t>
      </w:r>
      <w:r w:rsidR="00242F5E" w:rsidRPr="00E77558">
        <w:rPr>
          <w:rFonts w:ascii="Garamond" w:hAnsi="Garamond"/>
          <w:lang w:val="en-GB"/>
        </w:rPr>
        <w:t xml:space="preserve"> [pre-doxastic experiential states]</w:t>
      </w:r>
      <w:r w:rsidRPr="00E77558">
        <w:rPr>
          <w:rFonts w:ascii="Garamond" w:hAnsi="Garamond"/>
          <w:lang w:val="en-GB"/>
        </w:rPr>
        <w:t xml:space="preserve"> be conceived if their role is to be compatible with externalism? </w:t>
      </w:r>
      <w:r w:rsidR="00F630BA" w:rsidRPr="00E77558">
        <w:rPr>
          <w:rFonts w:ascii="Garamond" w:hAnsi="Garamond"/>
          <w:lang w:val="en-GB"/>
        </w:rPr>
        <w:t>…</w:t>
      </w:r>
      <w:r w:rsidRPr="00E77558">
        <w:rPr>
          <w:rFonts w:ascii="Garamond" w:hAnsi="Garamond"/>
          <w:lang w:val="en-GB"/>
        </w:rPr>
        <w:t>For an externalist</w:t>
      </w:r>
      <w:r w:rsidR="00F630BA" w:rsidRPr="00E77558">
        <w:rPr>
          <w:rFonts w:ascii="Garamond" w:hAnsi="Garamond"/>
          <w:lang w:val="en-GB"/>
        </w:rPr>
        <w:t>…</w:t>
      </w:r>
      <w:r w:rsidRPr="00E77558">
        <w:rPr>
          <w:rFonts w:ascii="Garamond" w:hAnsi="Garamond"/>
          <w:lang w:val="en-GB"/>
        </w:rPr>
        <w:t xml:space="preserve">a registration state has to be a </w:t>
      </w:r>
      <w:r w:rsidRPr="00E77558">
        <w:rPr>
          <w:rFonts w:ascii="Garamond" w:hAnsi="Garamond"/>
          <w:i/>
          <w:lang w:val="en-GB"/>
        </w:rPr>
        <w:t>world-involving</w:t>
      </w:r>
      <w:r w:rsidRPr="00E77558">
        <w:rPr>
          <w:rFonts w:ascii="Garamond" w:hAnsi="Garamond"/>
          <w:lang w:val="en-GB"/>
        </w:rPr>
        <w:t xml:space="preserve"> dyadic state, involving real relations between the subject and external circumstances.</w:t>
      </w:r>
      <w:r w:rsidR="003052B2" w:rsidRPr="00E77558">
        <w:rPr>
          <w:rStyle w:val="FootnoteReference"/>
          <w:rFonts w:ascii="Garamond" w:hAnsi="Garamond"/>
          <w:lang w:val="en-GB"/>
        </w:rPr>
        <w:footnoteReference w:id="2"/>
      </w:r>
    </w:p>
    <w:p w14:paraId="1708A962" w14:textId="77777777" w:rsidR="00F25B72" w:rsidRPr="00E77558" w:rsidRDefault="00F25B72" w:rsidP="00F25B72">
      <w:pPr>
        <w:rPr>
          <w:rFonts w:ascii="Garamond" w:hAnsi="Garamond"/>
          <w:lang w:val="en-GB"/>
        </w:rPr>
      </w:pPr>
    </w:p>
    <w:p w14:paraId="450F432D" w14:textId="0BF864C7" w:rsidR="009E29E4" w:rsidRPr="00E77558" w:rsidRDefault="00B82D4B">
      <w:pPr>
        <w:rPr>
          <w:rFonts w:ascii="Garamond" w:hAnsi="Garamond"/>
        </w:rPr>
      </w:pPr>
      <w:r w:rsidRPr="00E77558">
        <w:rPr>
          <w:rFonts w:ascii="Garamond" w:hAnsi="Garamond"/>
        </w:rPr>
        <w:t>C</w:t>
      </w:r>
      <w:r w:rsidR="00615D2A" w:rsidRPr="00E77558">
        <w:rPr>
          <w:rFonts w:ascii="Garamond" w:hAnsi="Garamond"/>
        </w:rPr>
        <w:t xml:space="preserve">ontrary to Wright’s </w:t>
      </w:r>
      <w:r w:rsidRPr="00E77558">
        <w:rPr>
          <w:rFonts w:ascii="Garamond" w:hAnsi="Garamond"/>
        </w:rPr>
        <w:t>presupposition</w:t>
      </w:r>
      <w:r w:rsidR="00615D2A" w:rsidRPr="00E77558">
        <w:rPr>
          <w:rFonts w:ascii="Garamond" w:hAnsi="Garamond"/>
        </w:rPr>
        <w:t xml:space="preserve">, </w:t>
      </w:r>
      <w:r w:rsidR="00FE56BB" w:rsidRPr="00E77558">
        <w:rPr>
          <w:rFonts w:ascii="Garamond" w:hAnsi="Garamond"/>
        </w:rPr>
        <w:t xml:space="preserve">one can hold an externalist account of experience while </w:t>
      </w:r>
      <w:r w:rsidR="00615D2A" w:rsidRPr="00E77558">
        <w:rPr>
          <w:rFonts w:ascii="Garamond" w:hAnsi="Garamond"/>
        </w:rPr>
        <w:t xml:space="preserve">nonetheless </w:t>
      </w:r>
      <w:r w:rsidR="00FE56BB" w:rsidRPr="00E77558">
        <w:rPr>
          <w:rFonts w:ascii="Garamond" w:hAnsi="Garamond"/>
        </w:rPr>
        <w:t xml:space="preserve">accepting an internalist account of justification. </w:t>
      </w:r>
      <w:r w:rsidR="005222B9" w:rsidRPr="00E77558">
        <w:rPr>
          <w:rFonts w:ascii="Garamond" w:hAnsi="Garamond"/>
        </w:rPr>
        <w:t xml:space="preserve">On </w:t>
      </w:r>
      <w:r w:rsidR="00FE56BB" w:rsidRPr="00E77558">
        <w:rPr>
          <w:rFonts w:ascii="Garamond" w:hAnsi="Garamond"/>
        </w:rPr>
        <w:t>this kind of view</w:t>
      </w:r>
      <w:r w:rsidR="005222B9" w:rsidRPr="00E77558">
        <w:rPr>
          <w:rFonts w:ascii="Garamond" w:hAnsi="Garamond"/>
        </w:rPr>
        <w:t xml:space="preserve">, one holds that the character and content of a perceptual experience are fixed by facts </w:t>
      </w:r>
      <w:r w:rsidR="00760314" w:rsidRPr="00E77558">
        <w:rPr>
          <w:rFonts w:ascii="Garamond" w:hAnsi="Garamond"/>
        </w:rPr>
        <w:t>external to the skull</w:t>
      </w:r>
      <w:r w:rsidRPr="00E77558">
        <w:rPr>
          <w:rFonts w:ascii="Garamond" w:hAnsi="Garamond"/>
        </w:rPr>
        <w:t xml:space="preserve">, but also that </w:t>
      </w:r>
      <w:r w:rsidR="001818F1" w:rsidRPr="00E77558">
        <w:rPr>
          <w:rFonts w:ascii="Garamond" w:hAnsi="Garamond"/>
        </w:rPr>
        <w:t xml:space="preserve">the </w:t>
      </w:r>
      <w:r w:rsidR="00760314" w:rsidRPr="00E77558">
        <w:rPr>
          <w:rFonts w:ascii="Garamond" w:hAnsi="Garamond"/>
        </w:rPr>
        <w:t>subject</w:t>
      </w:r>
      <w:r w:rsidRPr="00E77558">
        <w:rPr>
          <w:rFonts w:ascii="Garamond" w:hAnsi="Garamond"/>
        </w:rPr>
        <w:t xml:space="preserve"> ought to align her beliefs with the evidence that is available to her</w:t>
      </w:r>
      <w:r w:rsidR="00760314" w:rsidRPr="00E77558">
        <w:rPr>
          <w:rFonts w:ascii="Garamond" w:hAnsi="Garamond"/>
        </w:rPr>
        <w:t>.</w:t>
      </w:r>
      <w:r w:rsidR="00A23990" w:rsidRPr="00E77558">
        <w:rPr>
          <w:rFonts w:ascii="Garamond" w:hAnsi="Garamond"/>
        </w:rPr>
        <w:t xml:space="preserve"> </w:t>
      </w:r>
      <w:r w:rsidR="00FE56BB" w:rsidRPr="00E77558">
        <w:rPr>
          <w:rFonts w:ascii="Garamond" w:hAnsi="Garamond"/>
        </w:rPr>
        <w:t xml:space="preserve">I’ll argue that </w:t>
      </w:r>
      <w:r w:rsidR="00242F5E" w:rsidRPr="00E77558">
        <w:rPr>
          <w:rFonts w:ascii="Garamond" w:hAnsi="Garamond"/>
        </w:rPr>
        <w:t xml:space="preserve">metaphysical </w:t>
      </w:r>
      <w:proofErr w:type="spellStart"/>
      <w:r w:rsidR="00A23990" w:rsidRPr="00E77558">
        <w:rPr>
          <w:rFonts w:ascii="Garamond" w:hAnsi="Garamond"/>
        </w:rPr>
        <w:t>disjunctivis</w:t>
      </w:r>
      <w:r w:rsidR="00242F5E" w:rsidRPr="00E77558">
        <w:rPr>
          <w:rFonts w:ascii="Garamond" w:hAnsi="Garamond"/>
        </w:rPr>
        <w:t>m</w:t>
      </w:r>
      <w:proofErr w:type="spellEnd"/>
      <w:r w:rsidR="00242F5E" w:rsidRPr="00E77558">
        <w:rPr>
          <w:rFonts w:ascii="Garamond" w:hAnsi="Garamond"/>
        </w:rPr>
        <w:t>—a particular brand of externalism about experience—</w:t>
      </w:r>
      <w:r w:rsidR="00FE56BB" w:rsidRPr="00E77558">
        <w:rPr>
          <w:rFonts w:ascii="Garamond" w:hAnsi="Garamond"/>
        </w:rPr>
        <w:t xml:space="preserve">is best </w:t>
      </w:r>
      <w:r w:rsidR="00615D2A" w:rsidRPr="00E77558">
        <w:rPr>
          <w:rFonts w:ascii="Garamond" w:hAnsi="Garamond"/>
        </w:rPr>
        <w:t>understood</w:t>
      </w:r>
      <w:r w:rsidR="00FE56BB" w:rsidRPr="00E77558">
        <w:rPr>
          <w:rFonts w:ascii="Garamond" w:hAnsi="Garamond"/>
        </w:rPr>
        <w:t xml:space="preserve"> </w:t>
      </w:r>
      <w:r w:rsidR="003F7D97" w:rsidRPr="00E77558">
        <w:rPr>
          <w:rFonts w:ascii="Garamond" w:hAnsi="Garamond"/>
        </w:rPr>
        <w:t>as</w:t>
      </w:r>
      <w:r w:rsidR="00242F5E" w:rsidRPr="00E77558">
        <w:rPr>
          <w:rFonts w:ascii="Garamond" w:hAnsi="Garamond"/>
        </w:rPr>
        <w:t xml:space="preserve"> motivated by </w:t>
      </w:r>
      <w:r w:rsidR="00A23990" w:rsidRPr="00E77558">
        <w:rPr>
          <w:rFonts w:ascii="Garamond" w:hAnsi="Garamond"/>
        </w:rPr>
        <w:t>an internalist conception of justification.</w:t>
      </w:r>
      <w:r w:rsidR="00C93BED" w:rsidRPr="00E77558">
        <w:rPr>
          <w:rFonts w:ascii="Garamond" w:hAnsi="Garamond"/>
        </w:rPr>
        <w:t xml:space="preserve"> I will argue that </w:t>
      </w:r>
      <w:r w:rsidR="0016009A" w:rsidRPr="00E77558">
        <w:rPr>
          <w:rFonts w:ascii="Garamond" w:hAnsi="Garamond"/>
        </w:rPr>
        <w:t>this combination of commitments</w:t>
      </w:r>
      <w:r w:rsidR="003F7D97" w:rsidRPr="00E77558">
        <w:rPr>
          <w:rFonts w:ascii="Garamond" w:hAnsi="Garamond"/>
        </w:rPr>
        <w:t xml:space="preserve"> </w:t>
      </w:r>
      <w:r w:rsidR="0016009A" w:rsidRPr="00E77558">
        <w:rPr>
          <w:rFonts w:ascii="Garamond" w:hAnsi="Garamond"/>
        </w:rPr>
        <w:t>places disjunctivism in</w:t>
      </w:r>
      <w:r w:rsidR="00C93BED" w:rsidRPr="00E77558">
        <w:rPr>
          <w:rFonts w:ascii="Garamond" w:hAnsi="Garamond"/>
        </w:rPr>
        <w:t xml:space="preserve"> </w:t>
      </w:r>
      <w:r w:rsidRPr="00E77558">
        <w:rPr>
          <w:rFonts w:ascii="Garamond" w:hAnsi="Garamond"/>
        </w:rPr>
        <w:t>the</w:t>
      </w:r>
      <w:r w:rsidR="00C93BED" w:rsidRPr="00E77558">
        <w:rPr>
          <w:rFonts w:ascii="Garamond" w:hAnsi="Garamond"/>
        </w:rPr>
        <w:t xml:space="preserve"> unique position </w:t>
      </w:r>
      <w:r w:rsidRPr="00E77558">
        <w:rPr>
          <w:rFonts w:ascii="Garamond" w:hAnsi="Garamond"/>
        </w:rPr>
        <w:t xml:space="preserve">of </w:t>
      </w:r>
      <w:r w:rsidR="00C93BED" w:rsidRPr="00E77558">
        <w:rPr>
          <w:rFonts w:ascii="Garamond" w:hAnsi="Garamond"/>
        </w:rPr>
        <w:t xml:space="preserve">simultaneously </w:t>
      </w:r>
      <w:r w:rsidRPr="00E77558">
        <w:rPr>
          <w:rFonts w:ascii="Garamond" w:hAnsi="Garamond"/>
        </w:rPr>
        <w:t>accommodating</w:t>
      </w:r>
      <w:r w:rsidR="00C93BED" w:rsidRPr="00E77558">
        <w:rPr>
          <w:rFonts w:ascii="Garamond" w:hAnsi="Garamond"/>
        </w:rPr>
        <w:t xml:space="preserve"> </w:t>
      </w:r>
      <w:r w:rsidR="001818F1" w:rsidRPr="00E77558">
        <w:rPr>
          <w:rFonts w:ascii="Garamond" w:hAnsi="Garamond"/>
        </w:rPr>
        <w:t xml:space="preserve">the </w:t>
      </w:r>
      <w:r w:rsidR="00C93BED" w:rsidRPr="00E77558">
        <w:rPr>
          <w:rFonts w:ascii="Garamond" w:hAnsi="Garamond"/>
        </w:rPr>
        <w:t xml:space="preserve">epistemic values of </w:t>
      </w:r>
      <w:r w:rsidR="001818F1" w:rsidRPr="00E77558">
        <w:rPr>
          <w:rFonts w:ascii="Garamond" w:hAnsi="Garamond"/>
        </w:rPr>
        <w:t xml:space="preserve">both </w:t>
      </w:r>
      <w:r w:rsidR="00C93BED" w:rsidRPr="00E77558">
        <w:rPr>
          <w:rFonts w:ascii="Garamond" w:hAnsi="Garamond"/>
        </w:rPr>
        <w:t xml:space="preserve">rationality and knowledge. </w:t>
      </w:r>
    </w:p>
    <w:p w14:paraId="2D31DAF0" w14:textId="3B370598" w:rsidR="00F01ACC" w:rsidRPr="00E77558" w:rsidRDefault="00F01ACC">
      <w:pPr>
        <w:rPr>
          <w:rFonts w:ascii="Garamond" w:hAnsi="Garamond"/>
        </w:rPr>
      </w:pPr>
    </w:p>
    <w:p w14:paraId="3F51875E" w14:textId="0BE1CB98" w:rsidR="00A23990" w:rsidRPr="00E77558" w:rsidRDefault="00F01ACC">
      <w:pPr>
        <w:rPr>
          <w:rFonts w:ascii="Garamond" w:hAnsi="Garamond"/>
        </w:rPr>
      </w:pPr>
      <w:r w:rsidRPr="00E77558">
        <w:rPr>
          <w:rFonts w:ascii="Garamond" w:hAnsi="Garamond"/>
        </w:rPr>
        <w:t xml:space="preserve">One of the key motivations for a disjunctivist view of perceptual experience is </w:t>
      </w:r>
      <w:r w:rsidR="00242F5E" w:rsidRPr="00E77558">
        <w:rPr>
          <w:rFonts w:ascii="Garamond" w:hAnsi="Garamond"/>
        </w:rPr>
        <w:t>the claim that</w:t>
      </w:r>
      <w:r w:rsidRPr="00E77558">
        <w:rPr>
          <w:rFonts w:ascii="Garamond" w:hAnsi="Garamond"/>
        </w:rPr>
        <w:t xml:space="preserve"> </w:t>
      </w:r>
      <w:r w:rsidR="00A23990" w:rsidRPr="00E77558">
        <w:rPr>
          <w:rFonts w:ascii="Garamond" w:hAnsi="Garamond"/>
        </w:rPr>
        <w:t>extant</w:t>
      </w:r>
      <w:r w:rsidRPr="00E77558">
        <w:rPr>
          <w:rFonts w:ascii="Garamond" w:hAnsi="Garamond"/>
        </w:rPr>
        <w:t xml:space="preserve"> forms of </w:t>
      </w:r>
      <w:r w:rsidR="00242F5E" w:rsidRPr="00E77558">
        <w:rPr>
          <w:rFonts w:ascii="Garamond" w:hAnsi="Garamond"/>
          <w:i/>
          <w:iCs/>
        </w:rPr>
        <w:t xml:space="preserve">both </w:t>
      </w:r>
      <w:r w:rsidRPr="00E77558">
        <w:rPr>
          <w:rFonts w:ascii="Garamond" w:hAnsi="Garamond"/>
        </w:rPr>
        <w:t xml:space="preserve">internalism </w:t>
      </w:r>
      <w:r w:rsidRPr="00E77558">
        <w:rPr>
          <w:rFonts w:ascii="Garamond" w:hAnsi="Garamond"/>
          <w:i/>
          <w:iCs/>
        </w:rPr>
        <w:t>and</w:t>
      </w:r>
      <w:r w:rsidRPr="00E77558">
        <w:rPr>
          <w:rFonts w:ascii="Garamond" w:hAnsi="Garamond"/>
        </w:rPr>
        <w:t xml:space="preserve"> externalism</w:t>
      </w:r>
      <w:r w:rsidR="00A23990" w:rsidRPr="00E77558">
        <w:rPr>
          <w:rFonts w:ascii="Garamond" w:hAnsi="Garamond"/>
        </w:rPr>
        <w:t xml:space="preserve"> about experience</w:t>
      </w:r>
      <w:r w:rsidRPr="00E77558">
        <w:rPr>
          <w:rFonts w:ascii="Garamond" w:hAnsi="Garamond"/>
        </w:rPr>
        <w:t xml:space="preserve"> fail to explain how our perceptual experiences can </w:t>
      </w:r>
      <w:r w:rsidR="003F7D97" w:rsidRPr="00E77558">
        <w:rPr>
          <w:rFonts w:ascii="Garamond" w:hAnsi="Garamond"/>
        </w:rPr>
        <w:t xml:space="preserve">represent the world as being some way </w:t>
      </w:r>
      <w:r w:rsidR="003F7D97" w:rsidRPr="00E77558">
        <w:rPr>
          <w:rFonts w:ascii="Garamond" w:hAnsi="Garamond"/>
          <w:i/>
          <w:iCs/>
        </w:rPr>
        <w:t>to the subject</w:t>
      </w:r>
      <w:r w:rsidR="00EF1B12" w:rsidRPr="00E77558">
        <w:rPr>
          <w:rFonts w:ascii="Garamond" w:hAnsi="Garamond"/>
          <w:i/>
          <w:iCs/>
        </w:rPr>
        <w:t>.</w:t>
      </w:r>
      <w:r w:rsidR="00EF1B12" w:rsidRPr="00E77558">
        <w:rPr>
          <w:rFonts w:ascii="Garamond" w:hAnsi="Garamond"/>
        </w:rPr>
        <w:t xml:space="preserve"> The </w:t>
      </w:r>
      <w:r w:rsidR="00A23990" w:rsidRPr="00E77558">
        <w:rPr>
          <w:rFonts w:ascii="Garamond" w:hAnsi="Garamond"/>
        </w:rPr>
        <w:t>problem for</w:t>
      </w:r>
      <w:r w:rsidR="00EF1B12" w:rsidRPr="00E77558">
        <w:rPr>
          <w:rFonts w:ascii="Garamond" w:hAnsi="Garamond"/>
        </w:rPr>
        <w:t xml:space="preserve"> the internalist</w:t>
      </w:r>
      <w:r w:rsidR="00451B67" w:rsidRPr="00E77558">
        <w:rPr>
          <w:rFonts w:ascii="Garamond" w:hAnsi="Garamond"/>
        </w:rPr>
        <w:t>, famously</w:t>
      </w:r>
      <w:r w:rsidR="00EF1B12" w:rsidRPr="00E77558">
        <w:rPr>
          <w:rFonts w:ascii="Garamond" w:hAnsi="Garamond"/>
        </w:rPr>
        <w:t xml:space="preserve"> pressed by the likes of Putnam</w:t>
      </w:r>
      <w:r w:rsidR="00451B67" w:rsidRPr="00E77558">
        <w:rPr>
          <w:rFonts w:ascii="Garamond" w:hAnsi="Garamond"/>
        </w:rPr>
        <w:t>, is</w:t>
      </w:r>
      <w:r w:rsidR="00A23990" w:rsidRPr="00E77558">
        <w:rPr>
          <w:rFonts w:ascii="Garamond" w:hAnsi="Garamond"/>
        </w:rPr>
        <w:t xml:space="preserve"> that </w:t>
      </w:r>
      <w:r w:rsidR="00451B67" w:rsidRPr="00E77558">
        <w:rPr>
          <w:rFonts w:ascii="Garamond" w:hAnsi="Garamond"/>
        </w:rPr>
        <w:t>an item cannot</w:t>
      </w:r>
      <w:r w:rsidR="00A23990" w:rsidRPr="00E77558">
        <w:rPr>
          <w:rFonts w:ascii="Garamond" w:hAnsi="Garamond"/>
        </w:rPr>
        <w:t xml:space="preserve"> intrinsically represent anything.</w:t>
      </w:r>
      <w:r w:rsidR="001B6B98" w:rsidRPr="00E77558">
        <w:rPr>
          <w:rStyle w:val="FootnoteReference"/>
          <w:rFonts w:ascii="Garamond" w:hAnsi="Garamond"/>
        </w:rPr>
        <w:footnoteReference w:id="3"/>
      </w:r>
      <w:r w:rsidR="00A23990" w:rsidRPr="00E77558">
        <w:rPr>
          <w:rFonts w:ascii="Garamond" w:hAnsi="Garamond"/>
        </w:rPr>
        <w:t xml:space="preserve"> </w:t>
      </w:r>
      <w:r w:rsidR="00EF1B12" w:rsidRPr="00E77558">
        <w:rPr>
          <w:rFonts w:ascii="Garamond" w:hAnsi="Garamond"/>
        </w:rPr>
        <w:t>A line drawing in the sand cannot, just in virtue of its intrinsic characteristics, constitute a drawing of Churchill. And mental items are no different from physical items</w:t>
      </w:r>
      <w:r w:rsidR="00451B67" w:rsidRPr="00E77558">
        <w:rPr>
          <w:rFonts w:ascii="Garamond" w:hAnsi="Garamond"/>
        </w:rPr>
        <w:t xml:space="preserve"> here</w:t>
      </w:r>
      <w:r w:rsidR="00EF1B12" w:rsidRPr="00E77558">
        <w:rPr>
          <w:rFonts w:ascii="Garamond" w:hAnsi="Garamond"/>
        </w:rPr>
        <w:t>. A mental state cannot, just in virtue of its intrinsic properties</w:t>
      </w:r>
      <w:r w:rsidR="00AC4419" w:rsidRPr="00E77558">
        <w:rPr>
          <w:rFonts w:ascii="Garamond" w:hAnsi="Garamond"/>
        </w:rPr>
        <w:t>,</w:t>
      </w:r>
      <w:r w:rsidR="00EF1B12" w:rsidRPr="00E77558">
        <w:rPr>
          <w:rFonts w:ascii="Garamond" w:hAnsi="Garamond"/>
        </w:rPr>
        <w:t xml:space="preserve"> represent anything outside of itself. </w:t>
      </w:r>
      <w:r w:rsidR="00A23990" w:rsidRPr="00E77558">
        <w:rPr>
          <w:rFonts w:ascii="Garamond" w:hAnsi="Garamond"/>
        </w:rPr>
        <w:t>So, on an internalist view of perceptual experience, it can never so much as seem to the subject as if the world is some way</w:t>
      </w:r>
      <w:r w:rsidR="000345F3" w:rsidRPr="00E77558">
        <w:rPr>
          <w:rFonts w:ascii="Garamond" w:hAnsi="Garamond"/>
        </w:rPr>
        <w:t xml:space="preserve">. </w:t>
      </w:r>
      <w:r w:rsidR="003C3D2C" w:rsidRPr="00E77558">
        <w:rPr>
          <w:rFonts w:ascii="Garamond" w:hAnsi="Garamond"/>
        </w:rPr>
        <w:t xml:space="preserve">If a </w:t>
      </w:r>
      <w:r w:rsidR="003C3D2C" w:rsidRPr="00E77558">
        <w:rPr>
          <w:rFonts w:ascii="Garamond" w:hAnsi="Garamond"/>
        </w:rPr>
        <w:lastRenderedPageBreak/>
        <w:t xml:space="preserve">subject’s internal states do not intrinsically represent anything, </w:t>
      </w:r>
      <w:r w:rsidR="001B6B98" w:rsidRPr="00E77558">
        <w:rPr>
          <w:rFonts w:ascii="Garamond" w:hAnsi="Garamond"/>
        </w:rPr>
        <w:t xml:space="preserve">then </w:t>
      </w:r>
      <w:r w:rsidR="003C3D2C" w:rsidRPr="00E77558">
        <w:rPr>
          <w:rFonts w:ascii="Garamond" w:hAnsi="Garamond"/>
        </w:rPr>
        <w:t>experiences</w:t>
      </w:r>
      <w:r w:rsidR="001B6B98" w:rsidRPr="00E77558">
        <w:rPr>
          <w:rFonts w:ascii="Garamond" w:hAnsi="Garamond"/>
        </w:rPr>
        <w:t xml:space="preserve">, construed </w:t>
      </w:r>
      <w:r w:rsidR="000345F3" w:rsidRPr="00E77558">
        <w:rPr>
          <w:rFonts w:ascii="Garamond" w:hAnsi="Garamond"/>
        </w:rPr>
        <w:t>as internal states</w:t>
      </w:r>
      <w:r w:rsidR="001B6B98" w:rsidRPr="00E77558">
        <w:rPr>
          <w:rFonts w:ascii="Garamond" w:hAnsi="Garamond"/>
        </w:rPr>
        <w:t xml:space="preserve">, </w:t>
      </w:r>
      <w:r w:rsidR="003C3D2C" w:rsidRPr="00E77558">
        <w:rPr>
          <w:rFonts w:ascii="Garamond" w:hAnsi="Garamond"/>
        </w:rPr>
        <w:t xml:space="preserve">cannot supply </w:t>
      </w:r>
      <w:r w:rsidR="000345F3" w:rsidRPr="00E77558">
        <w:rPr>
          <w:rFonts w:ascii="Garamond" w:hAnsi="Garamond"/>
        </w:rPr>
        <w:t>a subject</w:t>
      </w:r>
      <w:r w:rsidR="003C3D2C" w:rsidRPr="00E77558">
        <w:rPr>
          <w:rFonts w:ascii="Garamond" w:hAnsi="Garamond"/>
        </w:rPr>
        <w:t xml:space="preserve"> with any evidence for P, and so the subject cannot </w:t>
      </w:r>
      <w:r w:rsidR="000345F3" w:rsidRPr="00E77558">
        <w:rPr>
          <w:rFonts w:ascii="Garamond" w:hAnsi="Garamond"/>
        </w:rPr>
        <w:t xml:space="preserve">act </w:t>
      </w:r>
      <w:r w:rsidR="003C3D2C" w:rsidRPr="00E77558">
        <w:rPr>
          <w:rFonts w:ascii="Garamond" w:hAnsi="Garamond"/>
        </w:rPr>
        <w:t xml:space="preserve">rationally when she forms the belief that P on the basis of her perceptual experience. Wright assumes that the internalist is able to secure a notion of justification on which a subject is justified even in cases in which her resulting belief is false.  What the reasoning outlined here suggests is that, on the contrary, a view on which the subject has the </w:t>
      </w:r>
      <w:r w:rsidR="003C3D2C" w:rsidRPr="00E77558">
        <w:rPr>
          <w:rFonts w:ascii="Garamond" w:hAnsi="Garamond"/>
          <w:i/>
          <w:iCs/>
        </w:rPr>
        <w:t xml:space="preserve">same evidence </w:t>
      </w:r>
      <w:r w:rsidR="003C3D2C" w:rsidRPr="00E77558">
        <w:rPr>
          <w:rFonts w:ascii="Garamond" w:hAnsi="Garamond"/>
        </w:rPr>
        <w:t xml:space="preserve">across </w:t>
      </w:r>
      <w:r w:rsidR="000345F3" w:rsidRPr="00E77558">
        <w:rPr>
          <w:rFonts w:ascii="Garamond" w:hAnsi="Garamond"/>
        </w:rPr>
        <w:t>veridical and delusive experiences</w:t>
      </w:r>
      <w:r w:rsidR="003C3D2C" w:rsidRPr="00E77558">
        <w:rPr>
          <w:rFonts w:ascii="Garamond" w:hAnsi="Garamond"/>
        </w:rPr>
        <w:t xml:space="preserve"> in virtue of the evidential state being intrinsic to the subject, collapses into a view on which the subject has </w:t>
      </w:r>
      <w:r w:rsidR="003C3D2C" w:rsidRPr="00E77558">
        <w:rPr>
          <w:rFonts w:ascii="Garamond" w:hAnsi="Garamond"/>
          <w:i/>
          <w:iCs/>
        </w:rPr>
        <w:t xml:space="preserve">no evidence </w:t>
      </w:r>
      <w:r w:rsidR="003C3D2C" w:rsidRPr="00E77558">
        <w:rPr>
          <w:rFonts w:ascii="Garamond" w:hAnsi="Garamond"/>
        </w:rPr>
        <w:t xml:space="preserve">in either case. </w:t>
      </w:r>
    </w:p>
    <w:p w14:paraId="161A96F4" w14:textId="77777777" w:rsidR="00A23990" w:rsidRPr="00E77558" w:rsidRDefault="00A23990">
      <w:pPr>
        <w:rPr>
          <w:rFonts w:ascii="Garamond" w:hAnsi="Garamond"/>
        </w:rPr>
      </w:pPr>
    </w:p>
    <w:p w14:paraId="02C7F46F" w14:textId="1B7E2551" w:rsidR="003A3EB2" w:rsidRPr="00E77558" w:rsidRDefault="00A23990">
      <w:pPr>
        <w:rPr>
          <w:rFonts w:ascii="Garamond" w:hAnsi="Garamond"/>
        </w:rPr>
      </w:pPr>
      <w:r w:rsidRPr="00E77558">
        <w:rPr>
          <w:rFonts w:ascii="Garamond" w:hAnsi="Garamond"/>
        </w:rPr>
        <w:t xml:space="preserve">What is required for representation to get off the ground is some </w:t>
      </w:r>
      <w:r w:rsidR="00EF1B12" w:rsidRPr="00E77558">
        <w:rPr>
          <w:rFonts w:ascii="Garamond" w:hAnsi="Garamond"/>
        </w:rPr>
        <w:t xml:space="preserve">kind of contact between the item doing the representing and the item represented. The standard move, at this stage, is to argue that </w:t>
      </w:r>
      <w:r w:rsidR="00733B8B" w:rsidRPr="00E77558">
        <w:rPr>
          <w:rFonts w:ascii="Garamond" w:hAnsi="Garamond"/>
        </w:rPr>
        <w:t xml:space="preserve">some kind of causal connection is </w:t>
      </w:r>
      <w:r w:rsidR="00451B67" w:rsidRPr="00E77558">
        <w:rPr>
          <w:rFonts w:ascii="Garamond" w:hAnsi="Garamond"/>
        </w:rPr>
        <w:t>necessary</w:t>
      </w:r>
      <w:r w:rsidR="00733B8B" w:rsidRPr="00E77558">
        <w:rPr>
          <w:rFonts w:ascii="Garamond" w:hAnsi="Garamond"/>
        </w:rPr>
        <w:t xml:space="preserve"> for representation</w:t>
      </w:r>
      <w:r w:rsidR="00EF1B12" w:rsidRPr="00E77558">
        <w:rPr>
          <w:rFonts w:ascii="Garamond" w:hAnsi="Garamond"/>
        </w:rPr>
        <w:t xml:space="preserve">. A pattern in the sand comes to represent Churchill only if there is some causal chain that links the </w:t>
      </w:r>
      <w:r w:rsidR="00A842BB" w:rsidRPr="00E77558">
        <w:rPr>
          <w:rFonts w:ascii="Garamond" w:hAnsi="Garamond"/>
        </w:rPr>
        <w:t xml:space="preserve">production of the </w:t>
      </w:r>
      <w:r w:rsidR="00EF1B12" w:rsidRPr="00E77558">
        <w:rPr>
          <w:rFonts w:ascii="Garamond" w:hAnsi="Garamond"/>
        </w:rPr>
        <w:t xml:space="preserve">pattern back to the </w:t>
      </w:r>
      <w:r w:rsidR="00CB4885" w:rsidRPr="00E77558">
        <w:rPr>
          <w:rFonts w:ascii="Garamond" w:hAnsi="Garamond"/>
        </w:rPr>
        <w:t xml:space="preserve">individual himself. Similarly, a perceptual experience comes to represent a bowl of fruit on the table only if it is typically caused by bowls of fruit. The content of an experience, on </w:t>
      </w:r>
      <w:r w:rsidR="00733B8B" w:rsidRPr="00E77558">
        <w:rPr>
          <w:rFonts w:ascii="Garamond" w:hAnsi="Garamond"/>
        </w:rPr>
        <w:t xml:space="preserve">this standard </w:t>
      </w:r>
      <w:r w:rsidR="00451B67" w:rsidRPr="00E77558">
        <w:rPr>
          <w:rFonts w:ascii="Garamond" w:hAnsi="Garamond"/>
        </w:rPr>
        <w:t>variety</w:t>
      </w:r>
      <w:r w:rsidR="00733B8B" w:rsidRPr="00E77558">
        <w:rPr>
          <w:rFonts w:ascii="Garamond" w:hAnsi="Garamond"/>
        </w:rPr>
        <w:t xml:space="preserve"> of externalism</w:t>
      </w:r>
      <w:r w:rsidR="00CB4885" w:rsidRPr="00E77558">
        <w:rPr>
          <w:rFonts w:ascii="Garamond" w:hAnsi="Garamond"/>
        </w:rPr>
        <w:t>, is fixed by the causal etiology of the experience</w:t>
      </w:r>
      <w:r w:rsidR="00733B8B" w:rsidRPr="00E77558">
        <w:rPr>
          <w:rFonts w:ascii="Garamond" w:hAnsi="Garamond"/>
        </w:rPr>
        <w:t>.</w:t>
      </w:r>
    </w:p>
    <w:p w14:paraId="6F116312" w14:textId="77777777" w:rsidR="00CB4885" w:rsidRPr="00E77558" w:rsidRDefault="00CB4885">
      <w:pPr>
        <w:rPr>
          <w:rFonts w:ascii="Garamond" w:hAnsi="Garamond"/>
        </w:rPr>
      </w:pPr>
    </w:p>
    <w:p w14:paraId="368BF8E5" w14:textId="0F56244E" w:rsidR="00451B67" w:rsidRPr="00E77558" w:rsidRDefault="00733B8B" w:rsidP="0000702A">
      <w:pPr>
        <w:rPr>
          <w:rFonts w:ascii="Garamond" w:hAnsi="Garamond"/>
        </w:rPr>
      </w:pPr>
      <w:r w:rsidRPr="00E77558">
        <w:rPr>
          <w:rFonts w:ascii="Garamond" w:hAnsi="Garamond"/>
        </w:rPr>
        <w:t xml:space="preserve">According to the </w:t>
      </w:r>
      <w:proofErr w:type="spellStart"/>
      <w:r w:rsidRPr="00E77558">
        <w:rPr>
          <w:rFonts w:ascii="Garamond" w:hAnsi="Garamond"/>
        </w:rPr>
        <w:t>disjunctivist</w:t>
      </w:r>
      <w:proofErr w:type="spellEnd"/>
      <w:r w:rsidRPr="00E77558">
        <w:rPr>
          <w:rFonts w:ascii="Garamond" w:hAnsi="Garamond"/>
        </w:rPr>
        <w:t xml:space="preserve">, </w:t>
      </w:r>
      <w:r w:rsidR="00282C47" w:rsidRPr="00E77558">
        <w:rPr>
          <w:rFonts w:ascii="Garamond" w:hAnsi="Garamond"/>
        </w:rPr>
        <w:t xml:space="preserve">this kind of </w:t>
      </w:r>
      <w:r w:rsidR="00CB532B" w:rsidRPr="00E77558">
        <w:rPr>
          <w:rFonts w:ascii="Garamond" w:hAnsi="Garamond"/>
        </w:rPr>
        <w:t>garden-variety</w:t>
      </w:r>
      <w:r w:rsidRPr="00E77558">
        <w:rPr>
          <w:rFonts w:ascii="Garamond" w:hAnsi="Garamond"/>
        </w:rPr>
        <w:t xml:space="preserve"> externalism fails just as much as </w:t>
      </w:r>
      <w:r w:rsidR="00282C47" w:rsidRPr="00E77558">
        <w:rPr>
          <w:rFonts w:ascii="Garamond" w:hAnsi="Garamond"/>
        </w:rPr>
        <w:t xml:space="preserve">traditional </w:t>
      </w:r>
      <w:r w:rsidR="00AC4419" w:rsidRPr="00E77558">
        <w:rPr>
          <w:rFonts w:ascii="Garamond" w:hAnsi="Garamond"/>
        </w:rPr>
        <w:t>internalism</w:t>
      </w:r>
      <w:r w:rsidRPr="00E77558">
        <w:rPr>
          <w:rFonts w:ascii="Garamond" w:hAnsi="Garamond"/>
        </w:rPr>
        <w:t xml:space="preserve"> at </w:t>
      </w:r>
      <w:r w:rsidR="00451B67" w:rsidRPr="00E77558">
        <w:rPr>
          <w:rFonts w:ascii="Garamond" w:hAnsi="Garamond"/>
        </w:rPr>
        <w:t xml:space="preserve">securing the possibility of </w:t>
      </w:r>
      <w:r w:rsidRPr="00E77558">
        <w:rPr>
          <w:rFonts w:ascii="Garamond" w:hAnsi="Garamond"/>
        </w:rPr>
        <w:t>represent</w:t>
      </w:r>
      <w:r w:rsidR="00451B67" w:rsidRPr="00E77558">
        <w:rPr>
          <w:rFonts w:ascii="Garamond" w:hAnsi="Garamond"/>
        </w:rPr>
        <w:t xml:space="preserve">ation </w:t>
      </w:r>
      <w:r w:rsidRPr="00E77558">
        <w:rPr>
          <w:rFonts w:ascii="Garamond" w:hAnsi="Garamond"/>
          <w:i/>
          <w:iCs/>
        </w:rPr>
        <w:t>for the subject</w:t>
      </w:r>
      <w:r w:rsidRPr="00E77558">
        <w:rPr>
          <w:rFonts w:ascii="Garamond" w:hAnsi="Garamond"/>
        </w:rPr>
        <w:t>. If some experience represents a state of affairs only in virtue of being caused by that state of affairs in the right way</w:t>
      </w:r>
      <w:r w:rsidR="00AC4419" w:rsidRPr="00E77558">
        <w:rPr>
          <w:rFonts w:ascii="Garamond" w:hAnsi="Garamond"/>
        </w:rPr>
        <w:t>,</w:t>
      </w:r>
      <w:r w:rsidRPr="00E77558">
        <w:rPr>
          <w:rFonts w:ascii="Garamond" w:hAnsi="Garamond"/>
        </w:rPr>
        <w:t xml:space="preserve"> and if the subject of the </w:t>
      </w:r>
      <w:r w:rsidR="00451B67" w:rsidRPr="00E77558">
        <w:rPr>
          <w:rFonts w:ascii="Garamond" w:hAnsi="Garamond"/>
        </w:rPr>
        <w:t>experience</w:t>
      </w:r>
      <w:r w:rsidRPr="00E77558">
        <w:rPr>
          <w:rFonts w:ascii="Garamond" w:hAnsi="Garamond"/>
        </w:rPr>
        <w:t xml:space="preserve"> has no access to what causes her mental states, then the subject has no access to what her experience represent</w:t>
      </w:r>
      <w:r w:rsidR="006E4E2A" w:rsidRPr="00E77558">
        <w:rPr>
          <w:rFonts w:ascii="Garamond" w:hAnsi="Garamond"/>
        </w:rPr>
        <w:t>s</w:t>
      </w:r>
      <w:r w:rsidRPr="00E77558">
        <w:rPr>
          <w:rFonts w:ascii="Garamond" w:hAnsi="Garamond"/>
        </w:rPr>
        <w:t>.</w:t>
      </w:r>
      <w:r w:rsidR="006E4E2A" w:rsidRPr="00E77558">
        <w:rPr>
          <w:rFonts w:ascii="Garamond" w:hAnsi="Garamond"/>
        </w:rPr>
        <w:t xml:space="preserve"> And </w:t>
      </w:r>
      <w:proofErr w:type="gramStart"/>
      <w:r w:rsidR="006E4E2A" w:rsidRPr="00E77558">
        <w:rPr>
          <w:rFonts w:ascii="Garamond" w:hAnsi="Garamond"/>
        </w:rPr>
        <w:t>so</w:t>
      </w:r>
      <w:proofErr w:type="gramEnd"/>
      <w:r w:rsidR="006E4E2A" w:rsidRPr="00E77558">
        <w:rPr>
          <w:rFonts w:ascii="Garamond" w:hAnsi="Garamond"/>
        </w:rPr>
        <w:t xml:space="preserve"> we still cannot explain how </w:t>
      </w:r>
      <w:r w:rsidR="008D37A3" w:rsidRPr="00E77558">
        <w:rPr>
          <w:rFonts w:ascii="Garamond" w:hAnsi="Garamond"/>
        </w:rPr>
        <w:t xml:space="preserve">it can seem </w:t>
      </w:r>
      <w:r w:rsidR="008D37A3" w:rsidRPr="00E77558">
        <w:rPr>
          <w:rFonts w:ascii="Garamond" w:hAnsi="Garamond"/>
          <w:i/>
          <w:iCs/>
        </w:rPr>
        <w:t xml:space="preserve">to the subject </w:t>
      </w:r>
      <w:r w:rsidR="00D3207D" w:rsidRPr="00E77558">
        <w:rPr>
          <w:rFonts w:ascii="Garamond" w:hAnsi="Garamond"/>
        </w:rPr>
        <w:t>that there</w:t>
      </w:r>
      <w:r w:rsidR="008D37A3" w:rsidRPr="00E77558">
        <w:rPr>
          <w:rFonts w:ascii="Garamond" w:hAnsi="Garamond"/>
        </w:rPr>
        <w:t xml:space="preserve"> is a bowl of fruit on the table.</w:t>
      </w:r>
      <w:r w:rsidR="004E0E1B" w:rsidRPr="00E77558">
        <w:rPr>
          <w:rFonts w:ascii="Garamond" w:hAnsi="Garamond"/>
        </w:rPr>
        <w:t xml:space="preserve"> As McDowell famously put it, on this </w:t>
      </w:r>
      <w:r w:rsidR="006E4E2A" w:rsidRPr="00E77558">
        <w:rPr>
          <w:rFonts w:ascii="Garamond" w:hAnsi="Garamond"/>
        </w:rPr>
        <w:t>species of externalism</w:t>
      </w:r>
      <w:r w:rsidR="004E0E1B" w:rsidRPr="00E77558">
        <w:rPr>
          <w:rFonts w:ascii="Garamond" w:hAnsi="Garamond"/>
        </w:rPr>
        <w:t>,</w:t>
      </w:r>
      <w:r w:rsidR="00A842BB" w:rsidRPr="00E77558">
        <w:rPr>
          <w:rFonts w:ascii="Garamond" w:hAnsi="Garamond"/>
        </w:rPr>
        <w:t xml:space="preserve"> </w:t>
      </w:r>
      <w:r w:rsidR="004E0E1B" w:rsidRPr="00E77558">
        <w:rPr>
          <w:rFonts w:ascii="Garamond" w:hAnsi="Garamond"/>
        </w:rPr>
        <w:t xml:space="preserve">“there is a serious question about how it can be that experience, </w:t>
      </w:r>
      <w:r w:rsidR="004E0E1B" w:rsidRPr="00E77558">
        <w:rPr>
          <w:rFonts w:ascii="Garamond" w:hAnsi="Garamond"/>
          <w:i/>
          <w:iCs/>
        </w:rPr>
        <w:t>conceived from its own point of view</w:t>
      </w:r>
      <w:r w:rsidR="004E0E1B" w:rsidRPr="00E77558">
        <w:rPr>
          <w:rFonts w:ascii="Garamond" w:hAnsi="Garamond"/>
        </w:rPr>
        <w:t>, is not blank or blind, but purports to be revelatory of the world we live in</w:t>
      </w:r>
      <w:r w:rsidR="00282C47" w:rsidRPr="00E77558">
        <w:rPr>
          <w:rFonts w:ascii="Garamond" w:hAnsi="Garamond"/>
        </w:rPr>
        <w:t>.”</w:t>
      </w:r>
      <w:r w:rsidR="00282C47" w:rsidRPr="00E77558">
        <w:rPr>
          <w:rStyle w:val="FootnoteReference"/>
          <w:rFonts w:ascii="Garamond" w:hAnsi="Garamond"/>
        </w:rPr>
        <w:footnoteReference w:id="4"/>
      </w:r>
      <w:r w:rsidR="004E0E1B" w:rsidRPr="00E77558">
        <w:rPr>
          <w:rFonts w:ascii="Garamond" w:hAnsi="Garamond"/>
        </w:rPr>
        <w:t xml:space="preserve">  </w:t>
      </w:r>
    </w:p>
    <w:p w14:paraId="1DCFDAA5" w14:textId="4A03B84B" w:rsidR="003A3EB2" w:rsidRPr="00E77558" w:rsidRDefault="003A3EB2" w:rsidP="0000702A">
      <w:pPr>
        <w:rPr>
          <w:rFonts w:ascii="Garamond" w:hAnsi="Garamond"/>
        </w:rPr>
      </w:pPr>
    </w:p>
    <w:p w14:paraId="45C81553" w14:textId="77777777" w:rsidR="004D513B" w:rsidRPr="00E77558" w:rsidRDefault="00CB532B" w:rsidP="00733B8B">
      <w:pPr>
        <w:rPr>
          <w:rFonts w:ascii="Garamond" w:hAnsi="Garamond"/>
        </w:rPr>
      </w:pPr>
      <w:r w:rsidRPr="00E77558">
        <w:rPr>
          <w:rFonts w:ascii="Garamond" w:hAnsi="Garamond"/>
        </w:rPr>
        <w:t>This brand of</w:t>
      </w:r>
      <w:r w:rsidR="003A3EB2" w:rsidRPr="00E77558">
        <w:rPr>
          <w:rFonts w:ascii="Garamond" w:hAnsi="Garamond"/>
        </w:rPr>
        <w:t xml:space="preserve"> externalism about experience</w:t>
      </w:r>
      <w:r w:rsidRPr="00E77558">
        <w:rPr>
          <w:rFonts w:ascii="Garamond" w:hAnsi="Garamond"/>
        </w:rPr>
        <w:t>, then,</w:t>
      </w:r>
      <w:r w:rsidR="003A3EB2" w:rsidRPr="00E77558">
        <w:rPr>
          <w:rFonts w:ascii="Garamond" w:hAnsi="Garamond"/>
        </w:rPr>
        <w:t xml:space="preserve"> cannot respect the epistemic value of rationality</w:t>
      </w:r>
      <w:r w:rsidRPr="00E77558">
        <w:rPr>
          <w:rFonts w:ascii="Garamond" w:hAnsi="Garamond"/>
        </w:rPr>
        <w:t>, according to which a subject must form beliefs solely on the basis of the evidence that is accessible to her</w:t>
      </w:r>
      <w:r w:rsidR="00282C47" w:rsidRPr="00E77558">
        <w:rPr>
          <w:rFonts w:ascii="Garamond" w:hAnsi="Garamond"/>
        </w:rPr>
        <w:t xml:space="preserve"> (because no such evidence is accessible)</w:t>
      </w:r>
      <w:r w:rsidR="003A3EB2" w:rsidRPr="00E77558">
        <w:rPr>
          <w:rFonts w:ascii="Garamond" w:hAnsi="Garamond"/>
        </w:rPr>
        <w:t xml:space="preserve">. At best then, </w:t>
      </w:r>
      <w:r w:rsidR="003C7876" w:rsidRPr="00E77558">
        <w:rPr>
          <w:rFonts w:ascii="Garamond" w:hAnsi="Garamond"/>
        </w:rPr>
        <w:t>it</w:t>
      </w:r>
      <w:r w:rsidR="003A3EB2" w:rsidRPr="00E77558">
        <w:rPr>
          <w:rFonts w:ascii="Garamond" w:hAnsi="Garamond"/>
        </w:rPr>
        <w:t xml:space="preserve"> can </w:t>
      </w:r>
      <w:r w:rsidR="004D513B" w:rsidRPr="00E77558">
        <w:rPr>
          <w:rFonts w:ascii="Garamond" w:hAnsi="Garamond"/>
        </w:rPr>
        <w:t xml:space="preserve">aim for </w:t>
      </w:r>
      <w:r w:rsidR="00282C47" w:rsidRPr="00E77558">
        <w:rPr>
          <w:rFonts w:ascii="Garamond" w:hAnsi="Garamond"/>
          <w:i/>
          <w:iCs/>
        </w:rPr>
        <w:t>knowledge</w:t>
      </w:r>
      <w:r w:rsidR="004D513B" w:rsidRPr="00E77558">
        <w:rPr>
          <w:rFonts w:ascii="Garamond" w:hAnsi="Garamond"/>
        </w:rPr>
        <w:t xml:space="preserve"> in place of rationality</w:t>
      </w:r>
      <w:r w:rsidR="00282C47" w:rsidRPr="00E77558">
        <w:rPr>
          <w:rFonts w:ascii="Garamond" w:hAnsi="Garamond"/>
        </w:rPr>
        <w:t xml:space="preserve"> and </w:t>
      </w:r>
      <w:r w:rsidR="003A3EB2" w:rsidRPr="00E77558">
        <w:rPr>
          <w:rFonts w:ascii="Garamond" w:hAnsi="Garamond"/>
        </w:rPr>
        <w:t>argue that the subject’s perceptual beliefs are</w:t>
      </w:r>
      <w:r w:rsidR="002742E5" w:rsidRPr="00E77558">
        <w:rPr>
          <w:rFonts w:ascii="Garamond" w:hAnsi="Garamond"/>
        </w:rPr>
        <w:t xml:space="preserve"> nonetheless</w:t>
      </w:r>
      <w:r w:rsidR="003A3EB2" w:rsidRPr="00E77558">
        <w:rPr>
          <w:rFonts w:ascii="Garamond" w:hAnsi="Garamond"/>
        </w:rPr>
        <w:t xml:space="preserve"> justified because they are formed on the basis of experiences </w:t>
      </w:r>
      <w:r w:rsidR="002742E5" w:rsidRPr="00E77558">
        <w:rPr>
          <w:rFonts w:ascii="Garamond" w:hAnsi="Garamond"/>
        </w:rPr>
        <w:t>that</w:t>
      </w:r>
      <w:r w:rsidR="003A3EB2" w:rsidRPr="00E77558">
        <w:rPr>
          <w:rFonts w:ascii="Garamond" w:hAnsi="Garamond"/>
        </w:rPr>
        <w:t xml:space="preserve"> reliably lead the subject to true beliefs and knowledge.</w:t>
      </w:r>
      <w:r w:rsidR="004D513B" w:rsidRPr="00E77558">
        <w:rPr>
          <w:rStyle w:val="FootnoteReference"/>
          <w:rFonts w:ascii="Garamond" w:hAnsi="Garamond"/>
        </w:rPr>
        <w:footnoteReference w:id="5"/>
      </w:r>
      <w:r w:rsidR="004D513B" w:rsidRPr="00E77558">
        <w:rPr>
          <w:rFonts w:ascii="Garamond" w:hAnsi="Garamond"/>
        </w:rPr>
        <w:t xml:space="preserve"> </w:t>
      </w:r>
      <w:r w:rsidR="00A842BB" w:rsidRPr="00E77558">
        <w:rPr>
          <w:rFonts w:ascii="Garamond" w:hAnsi="Garamond"/>
        </w:rPr>
        <w:t>So</w:t>
      </w:r>
      <w:r w:rsidR="00AC4419" w:rsidRPr="00E77558">
        <w:rPr>
          <w:rFonts w:ascii="Garamond" w:hAnsi="Garamond"/>
        </w:rPr>
        <w:t>, as Wright suggests,</w:t>
      </w:r>
      <w:r w:rsidR="00A842BB" w:rsidRPr="00E77558">
        <w:rPr>
          <w:rFonts w:ascii="Garamond" w:hAnsi="Garamond"/>
        </w:rPr>
        <w:t xml:space="preserve"> the</w:t>
      </w:r>
      <w:r w:rsidR="003A3EB2" w:rsidRPr="00E77558">
        <w:rPr>
          <w:rFonts w:ascii="Garamond" w:hAnsi="Garamond"/>
        </w:rPr>
        <w:t xml:space="preserve"> standard externalist about experience </w:t>
      </w:r>
      <w:r w:rsidR="004D513B" w:rsidRPr="00E77558">
        <w:rPr>
          <w:rFonts w:ascii="Garamond" w:hAnsi="Garamond"/>
        </w:rPr>
        <w:t>relinquishes</w:t>
      </w:r>
      <w:r w:rsidR="003A3EB2" w:rsidRPr="00E77558">
        <w:rPr>
          <w:rFonts w:ascii="Garamond" w:hAnsi="Garamond"/>
        </w:rPr>
        <w:t xml:space="preserve"> the value of rationality </w:t>
      </w:r>
      <w:r w:rsidR="004D513B" w:rsidRPr="00E77558">
        <w:rPr>
          <w:rFonts w:ascii="Garamond" w:hAnsi="Garamond"/>
        </w:rPr>
        <w:t>and replaces it with truth or</w:t>
      </w:r>
      <w:r w:rsidR="003A3EB2" w:rsidRPr="00E77558">
        <w:rPr>
          <w:rFonts w:ascii="Garamond" w:hAnsi="Garamond"/>
        </w:rPr>
        <w:t xml:space="preserve"> knowledge. </w:t>
      </w:r>
    </w:p>
    <w:p w14:paraId="619B1AE4" w14:textId="77777777" w:rsidR="004D513B" w:rsidRPr="00E77558" w:rsidRDefault="004D513B" w:rsidP="00733B8B">
      <w:pPr>
        <w:rPr>
          <w:rFonts w:ascii="Garamond" w:hAnsi="Garamond"/>
        </w:rPr>
      </w:pPr>
    </w:p>
    <w:p w14:paraId="56E90432" w14:textId="3EBE741C" w:rsidR="0000702A" w:rsidRPr="00E77558" w:rsidRDefault="00A842BB" w:rsidP="00733B8B">
      <w:pPr>
        <w:rPr>
          <w:rFonts w:ascii="Garamond" w:hAnsi="Garamond"/>
        </w:rPr>
      </w:pPr>
      <w:r w:rsidRPr="00E77558">
        <w:rPr>
          <w:rFonts w:ascii="Garamond" w:hAnsi="Garamond"/>
        </w:rPr>
        <w:t xml:space="preserve">What is </w:t>
      </w:r>
      <w:r w:rsidR="003A3EB2" w:rsidRPr="00E77558">
        <w:rPr>
          <w:rFonts w:ascii="Garamond" w:hAnsi="Garamond"/>
        </w:rPr>
        <w:t>crucial to recognize</w:t>
      </w:r>
      <w:r w:rsidRPr="00E77558">
        <w:rPr>
          <w:rFonts w:ascii="Garamond" w:hAnsi="Garamond"/>
        </w:rPr>
        <w:t xml:space="preserve"> is</w:t>
      </w:r>
      <w:r w:rsidR="003A3EB2" w:rsidRPr="00E77558">
        <w:rPr>
          <w:rFonts w:ascii="Garamond" w:hAnsi="Garamond"/>
        </w:rPr>
        <w:t xml:space="preserve"> that t</w:t>
      </w:r>
      <w:r w:rsidR="00451B67" w:rsidRPr="00E77558">
        <w:rPr>
          <w:rFonts w:ascii="Garamond" w:hAnsi="Garamond"/>
        </w:rPr>
        <w:t>he</w:t>
      </w:r>
      <w:r w:rsidR="0000702A" w:rsidRPr="00E77558">
        <w:rPr>
          <w:rFonts w:ascii="Garamond" w:hAnsi="Garamond"/>
        </w:rPr>
        <w:t xml:space="preserve"> disjunctivist finds this </w:t>
      </w:r>
      <w:r w:rsidR="00D3207D" w:rsidRPr="00E77558">
        <w:rPr>
          <w:rFonts w:ascii="Garamond" w:hAnsi="Garamond"/>
        </w:rPr>
        <w:t>picture of subjects alienated from their own mental contents deeply problematic</w:t>
      </w:r>
      <w:r w:rsidR="00451B67" w:rsidRPr="00E77558">
        <w:rPr>
          <w:rFonts w:ascii="Garamond" w:hAnsi="Garamond"/>
        </w:rPr>
        <w:t xml:space="preserve"> </w:t>
      </w:r>
      <w:r w:rsidR="00D3207D" w:rsidRPr="00E77558">
        <w:rPr>
          <w:rFonts w:ascii="Garamond" w:hAnsi="Garamond"/>
        </w:rPr>
        <w:t xml:space="preserve">precisely because she </w:t>
      </w:r>
      <w:r w:rsidR="001D4FF4" w:rsidRPr="00E77558">
        <w:rPr>
          <w:rFonts w:ascii="Garamond" w:hAnsi="Garamond"/>
        </w:rPr>
        <w:t xml:space="preserve">has strongly </w:t>
      </w:r>
      <w:r w:rsidR="001D4FF4" w:rsidRPr="00E77558">
        <w:rPr>
          <w:rFonts w:ascii="Garamond" w:hAnsi="Garamond"/>
          <w:i/>
          <w:iCs/>
        </w:rPr>
        <w:t xml:space="preserve">internalist </w:t>
      </w:r>
      <w:r w:rsidR="001D4FF4" w:rsidRPr="00E77558">
        <w:rPr>
          <w:rFonts w:ascii="Garamond" w:hAnsi="Garamond"/>
        </w:rPr>
        <w:t xml:space="preserve">inclinations when it comes to justification. </w:t>
      </w:r>
      <w:r w:rsidR="00D3207D" w:rsidRPr="00E77558">
        <w:rPr>
          <w:rFonts w:ascii="Garamond" w:hAnsi="Garamond"/>
        </w:rPr>
        <w:t>T</w:t>
      </w:r>
      <w:r w:rsidR="00451B67" w:rsidRPr="00E77558">
        <w:rPr>
          <w:rFonts w:ascii="Garamond" w:hAnsi="Garamond"/>
        </w:rPr>
        <w:t xml:space="preserve">he </w:t>
      </w:r>
      <w:proofErr w:type="spellStart"/>
      <w:r w:rsidR="00451B67" w:rsidRPr="00E77558">
        <w:rPr>
          <w:rFonts w:ascii="Garamond" w:hAnsi="Garamond"/>
        </w:rPr>
        <w:t>disjunctivist</w:t>
      </w:r>
      <w:proofErr w:type="spellEnd"/>
      <w:r w:rsidR="00451B67" w:rsidRPr="00E77558">
        <w:rPr>
          <w:rFonts w:ascii="Garamond" w:hAnsi="Garamond"/>
        </w:rPr>
        <w:t xml:space="preserve"> is </w:t>
      </w:r>
      <w:r w:rsidR="004D513B" w:rsidRPr="00E77558">
        <w:rPr>
          <w:rFonts w:ascii="Garamond" w:hAnsi="Garamond"/>
        </w:rPr>
        <w:t>motivated by the desideratum</w:t>
      </w:r>
      <w:r w:rsidR="00D3207D" w:rsidRPr="00E77558">
        <w:rPr>
          <w:rFonts w:ascii="Garamond" w:hAnsi="Garamond"/>
        </w:rPr>
        <w:t xml:space="preserve"> that </w:t>
      </w:r>
      <w:r w:rsidR="0000702A" w:rsidRPr="00E77558">
        <w:rPr>
          <w:rFonts w:ascii="Garamond" w:hAnsi="Garamond"/>
        </w:rPr>
        <w:t xml:space="preserve">the evidence on the basis of which the subject forms </w:t>
      </w:r>
      <w:r w:rsidR="00D3207D" w:rsidRPr="00E77558">
        <w:rPr>
          <w:rFonts w:ascii="Garamond" w:hAnsi="Garamond"/>
        </w:rPr>
        <w:t>a</w:t>
      </w:r>
      <w:r w:rsidR="0000702A" w:rsidRPr="00E77558">
        <w:rPr>
          <w:rFonts w:ascii="Garamond" w:hAnsi="Garamond"/>
        </w:rPr>
        <w:t xml:space="preserve"> belief must be available or accessible to the subject herself</w:t>
      </w:r>
      <w:r w:rsidR="00D3207D" w:rsidRPr="00E77558">
        <w:rPr>
          <w:rFonts w:ascii="Garamond" w:hAnsi="Garamond"/>
        </w:rPr>
        <w:t xml:space="preserve">. </w:t>
      </w:r>
      <w:r w:rsidR="00EA673C" w:rsidRPr="00E77558">
        <w:rPr>
          <w:rFonts w:ascii="Garamond" w:hAnsi="Garamond"/>
        </w:rPr>
        <w:t>The only way</w:t>
      </w:r>
      <w:r w:rsidR="003C3D2C" w:rsidRPr="00E77558">
        <w:rPr>
          <w:rFonts w:ascii="Garamond" w:hAnsi="Garamond"/>
        </w:rPr>
        <w:t xml:space="preserve"> </w:t>
      </w:r>
      <w:r w:rsidR="00EA673C" w:rsidRPr="00E77558">
        <w:rPr>
          <w:rFonts w:ascii="Garamond" w:hAnsi="Garamond"/>
        </w:rPr>
        <w:t xml:space="preserve">to make the </w:t>
      </w:r>
      <w:r w:rsidR="007B78E0" w:rsidRPr="00E77558">
        <w:rPr>
          <w:rFonts w:ascii="Garamond" w:hAnsi="Garamond"/>
        </w:rPr>
        <w:t xml:space="preserve">worldly </w:t>
      </w:r>
      <w:r w:rsidR="00EA673C" w:rsidRPr="00E77558">
        <w:rPr>
          <w:rFonts w:ascii="Garamond" w:hAnsi="Garamond"/>
        </w:rPr>
        <w:t>contents of experience available to the subject is to</w:t>
      </w:r>
      <w:r w:rsidR="003C3D2C" w:rsidRPr="00E77558">
        <w:rPr>
          <w:rFonts w:ascii="Garamond" w:hAnsi="Garamond"/>
        </w:rPr>
        <w:t xml:space="preserve"> </w:t>
      </w:r>
      <w:r w:rsidR="001D4FF4" w:rsidRPr="00E77558">
        <w:rPr>
          <w:rFonts w:ascii="Garamond" w:hAnsi="Garamond"/>
        </w:rPr>
        <w:t>allow</w:t>
      </w:r>
      <w:r w:rsidR="000A2ECC" w:rsidRPr="00E77558">
        <w:rPr>
          <w:rFonts w:ascii="Garamond" w:hAnsi="Garamond"/>
        </w:rPr>
        <w:t xml:space="preserve"> the world </w:t>
      </w:r>
      <w:r w:rsidR="001D4FF4" w:rsidRPr="00E77558">
        <w:rPr>
          <w:rFonts w:ascii="Garamond" w:hAnsi="Garamond"/>
        </w:rPr>
        <w:t xml:space="preserve">to </w:t>
      </w:r>
      <w:r w:rsidR="001D4FF4" w:rsidRPr="00E77558">
        <w:rPr>
          <w:rFonts w:ascii="Garamond" w:hAnsi="Garamond"/>
          <w:i/>
          <w:iCs/>
        </w:rPr>
        <w:t>constitute</w:t>
      </w:r>
      <w:r w:rsidR="001D4FF4" w:rsidRPr="00E77558">
        <w:rPr>
          <w:rFonts w:ascii="Garamond" w:hAnsi="Garamond"/>
        </w:rPr>
        <w:t>, and not merely cause, our experiences.</w:t>
      </w:r>
      <w:r w:rsidR="003C3D2C" w:rsidRPr="00E77558">
        <w:rPr>
          <w:rFonts w:ascii="Garamond" w:hAnsi="Garamond"/>
        </w:rPr>
        <w:t xml:space="preserve"> </w:t>
      </w:r>
      <w:r w:rsidR="007B78E0" w:rsidRPr="00E77558">
        <w:rPr>
          <w:rFonts w:ascii="Garamond" w:hAnsi="Garamond"/>
        </w:rPr>
        <w:t xml:space="preserve">This is what leads to the </w:t>
      </w:r>
      <w:proofErr w:type="spellStart"/>
      <w:r w:rsidR="007B78E0" w:rsidRPr="00E77558">
        <w:rPr>
          <w:rFonts w:ascii="Garamond" w:hAnsi="Garamond"/>
        </w:rPr>
        <w:t>disjunctivist</w:t>
      </w:r>
      <w:proofErr w:type="spellEnd"/>
      <w:r w:rsidR="007B78E0" w:rsidRPr="00E77558">
        <w:rPr>
          <w:rFonts w:ascii="Garamond" w:hAnsi="Garamond"/>
        </w:rPr>
        <w:t xml:space="preserve"> thesis that there is no experience in common across veridical and delusive experiences: if a worldly scene constitutes a veridical </w:t>
      </w:r>
      <w:r w:rsidR="004D513B" w:rsidRPr="00E77558">
        <w:rPr>
          <w:rFonts w:ascii="Garamond" w:hAnsi="Garamond"/>
        </w:rPr>
        <w:t>perception</w:t>
      </w:r>
      <w:r w:rsidR="007B78E0" w:rsidRPr="00E77558">
        <w:rPr>
          <w:rFonts w:ascii="Garamond" w:hAnsi="Garamond"/>
        </w:rPr>
        <w:t xml:space="preserve"> of that scene, that same experience </w:t>
      </w:r>
      <w:r w:rsidR="007B78E0" w:rsidRPr="00E77558">
        <w:rPr>
          <w:rFonts w:ascii="Garamond" w:hAnsi="Garamond"/>
          <w:i/>
          <w:iCs/>
        </w:rPr>
        <w:t xml:space="preserve">cannot </w:t>
      </w:r>
      <w:r w:rsidR="007B78E0" w:rsidRPr="00E77558">
        <w:rPr>
          <w:rFonts w:ascii="Garamond" w:hAnsi="Garamond"/>
        </w:rPr>
        <w:t xml:space="preserve">obtain in the absence of that scene.  The </w:t>
      </w:r>
      <w:r w:rsidR="008A60DC" w:rsidRPr="00E77558">
        <w:rPr>
          <w:rFonts w:ascii="Garamond" w:hAnsi="Garamond"/>
        </w:rPr>
        <w:t xml:space="preserve">payoff: </w:t>
      </w:r>
      <w:r w:rsidR="007B78E0" w:rsidRPr="00E77558">
        <w:rPr>
          <w:rFonts w:ascii="Garamond" w:hAnsi="Garamond"/>
        </w:rPr>
        <w:t xml:space="preserve">insofar as </w:t>
      </w:r>
      <w:r w:rsidR="00EA673C" w:rsidRPr="00E77558">
        <w:rPr>
          <w:rFonts w:ascii="Garamond" w:hAnsi="Garamond"/>
        </w:rPr>
        <w:t>the relevant worldly state</w:t>
      </w:r>
      <w:r w:rsidR="008A60DC" w:rsidRPr="00E77558">
        <w:rPr>
          <w:rFonts w:ascii="Garamond" w:hAnsi="Garamond"/>
        </w:rPr>
        <w:t>s</w:t>
      </w:r>
      <w:r w:rsidR="00EA673C" w:rsidRPr="00E77558">
        <w:rPr>
          <w:rFonts w:ascii="Garamond" w:hAnsi="Garamond"/>
        </w:rPr>
        <w:t xml:space="preserve"> of affairs </w:t>
      </w:r>
      <w:r w:rsidR="003C3D2C" w:rsidRPr="00E77558">
        <w:rPr>
          <w:rFonts w:ascii="Garamond" w:hAnsi="Garamond"/>
        </w:rPr>
        <w:t xml:space="preserve">are </w:t>
      </w:r>
      <w:r w:rsidR="00EA673C" w:rsidRPr="00E77558">
        <w:rPr>
          <w:rFonts w:ascii="Garamond" w:hAnsi="Garamond"/>
        </w:rPr>
        <w:t xml:space="preserve">actual constituents </w:t>
      </w:r>
      <w:r w:rsidR="003C3D2C" w:rsidRPr="00E77558">
        <w:rPr>
          <w:rFonts w:ascii="Garamond" w:hAnsi="Garamond"/>
        </w:rPr>
        <w:t xml:space="preserve">of the </w:t>
      </w:r>
      <w:r w:rsidR="003C3D2C" w:rsidRPr="00E77558">
        <w:rPr>
          <w:rFonts w:ascii="Garamond" w:hAnsi="Garamond"/>
        </w:rPr>
        <w:lastRenderedPageBreak/>
        <w:t xml:space="preserve">subject’s </w:t>
      </w:r>
      <w:r w:rsidR="00D81670" w:rsidRPr="00E77558">
        <w:rPr>
          <w:rFonts w:ascii="Garamond" w:hAnsi="Garamond"/>
        </w:rPr>
        <w:t>experience</w:t>
      </w:r>
      <w:r w:rsidR="000A2ECC" w:rsidRPr="00E77558">
        <w:rPr>
          <w:rFonts w:ascii="Garamond" w:hAnsi="Garamond"/>
        </w:rPr>
        <w:t xml:space="preserve">, </w:t>
      </w:r>
      <w:r w:rsidR="003C3D2C" w:rsidRPr="00E77558">
        <w:rPr>
          <w:rFonts w:ascii="Garamond" w:hAnsi="Garamond"/>
        </w:rPr>
        <w:t xml:space="preserve">they </w:t>
      </w:r>
      <w:r w:rsidR="004D513B" w:rsidRPr="00E77558">
        <w:rPr>
          <w:rFonts w:ascii="Garamond" w:hAnsi="Garamond"/>
        </w:rPr>
        <w:t>are not extrinsic</w:t>
      </w:r>
      <w:r w:rsidR="003C3D2C" w:rsidRPr="00E77558">
        <w:rPr>
          <w:rFonts w:ascii="Garamond" w:hAnsi="Garamond"/>
        </w:rPr>
        <w:t xml:space="preserve"> to </w:t>
      </w:r>
      <w:r w:rsidR="004D513B" w:rsidRPr="00E77558">
        <w:rPr>
          <w:rFonts w:ascii="Garamond" w:hAnsi="Garamond"/>
        </w:rPr>
        <w:t>those</w:t>
      </w:r>
      <w:r w:rsidR="003C3D2C" w:rsidRPr="00E77558">
        <w:rPr>
          <w:rFonts w:ascii="Garamond" w:hAnsi="Garamond"/>
        </w:rPr>
        <w:t xml:space="preserve"> </w:t>
      </w:r>
      <w:r w:rsidR="004D513B" w:rsidRPr="00E77558">
        <w:rPr>
          <w:rFonts w:ascii="Garamond" w:hAnsi="Garamond"/>
        </w:rPr>
        <w:t>experiences</w:t>
      </w:r>
      <w:r w:rsidR="008A60DC" w:rsidRPr="00E77558">
        <w:rPr>
          <w:rFonts w:ascii="Garamond" w:hAnsi="Garamond"/>
        </w:rPr>
        <w:t>.</w:t>
      </w:r>
      <w:r w:rsidR="00E91A9C" w:rsidRPr="00E77558">
        <w:rPr>
          <w:rFonts w:ascii="Garamond" w:hAnsi="Garamond"/>
        </w:rPr>
        <w:t xml:space="preserve"> And </w:t>
      </w:r>
      <w:proofErr w:type="gramStart"/>
      <w:r w:rsidR="00E91A9C" w:rsidRPr="00E77558">
        <w:rPr>
          <w:rFonts w:ascii="Garamond" w:hAnsi="Garamond"/>
        </w:rPr>
        <w:t>so</w:t>
      </w:r>
      <w:proofErr w:type="gramEnd"/>
      <w:r w:rsidR="00E91A9C" w:rsidRPr="00E77558">
        <w:rPr>
          <w:rFonts w:ascii="Garamond" w:hAnsi="Garamond"/>
        </w:rPr>
        <w:t xml:space="preserve"> there is no longer any alienation from the </w:t>
      </w:r>
      <w:r w:rsidR="004D513B" w:rsidRPr="00E77558">
        <w:rPr>
          <w:rFonts w:ascii="Garamond" w:hAnsi="Garamond"/>
        </w:rPr>
        <w:t xml:space="preserve">states that constitute a subject’s </w:t>
      </w:r>
      <w:r w:rsidR="00E91A9C" w:rsidRPr="00E77558">
        <w:rPr>
          <w:rFonts w:ascii="Garamond" w:hAnsi="Garamond"/>
        </w:rPr>
        <w:t xml:space="preserve">evidence for her perceptual beliefs. </w:t>
      </w:r>
      <w:r w:rsidR="008A60DC" w:rsidRPr="00E77558">
        <w:rPr>
          <w:rFonts w:ascii="Garamond" w:hAnsi="Garamond"/>
        </w:rPr>
        <w:t xml:space="preserve">   </w:t>
      </w:r>
    </w:p>
    <w:p w14:paraId="07F6BCC5" w14:textId="1FB49108" w:rsidR="00974236" w:rsidRPr="00E77558" w:rsidRDefault="00974236" w:rsidP="00036B13">
      <w:pPr>
        <w:rPr>
          <w:rFonts w:ascii="Garamond" w:hAnsi="Garamond"/>
        </w:rPr>
      </w:pPr>
    </w:p>
    <w:p w14:paraId="389F4A65" w14:textId="77E8D71D" w:rsidR="00974236" w:rsidRPr="00E77558" w:rsidRDefault="000A2ECC" w:rsidP="00036B13">
      <w:pPr>
        <w:rPr>
          <w:rFonts w:ascii="Garamond" w:hAnsi="Garamond"/>
        </w:rPr>
      </w:pPr>
      <w:r w:rsidRPr="00E77558">
        <w:rPr>
          <w:rFonts w:ascii="Garamond" w:hAnsi="Garamond"/>
        </w:rPr>
        <w:t xml:space="preserve">The important point to note here is that valuing rationality as an epistemic norm does not </w:t>
      </w:r>
      <w:r w:rsidRPr="00E77558">
        <w:rPr>
          <w:rFonts w:ascii="Garamond" w:hAnsi="Garamond"/>
          <w:i/>
          <w:iCs/>
        </w:rPr>
        <w:t>require</w:t>
      </w:r>
      <w:r w:rsidRPr="00E77558">
        <w:rPr>
          <w:rFonts w:ascii="Garamond" w:hAnsi="Garamond"/>
        </w:rPr>
        <w:t xml:space="preserve"> that one treat the justification that a subject has as identical across veridical and non-veridical cases. </w:t>
      </w:r>
      <w:r w:rsidR="00974236" w:rsidRPr="00E77558">
        <w:rPr>
          <w:rFonts w:ascii="Garamond" w:hAnsi="Garamond"/>
        </w:rPr>
        <w:t xml:space="preserve">Given that on disjunctivism, the experience that a subject enjoys when perceiving </w:t>
      </w:r>
      <w:r w:rsidR="00E91A9C" w:rsidRPr="00E77558">
        <w:rPr>
          <w:rFonts w:ascii="Garamond" w:hAnsi="Garamond"/>
        </w:rPr>
        <w:t>is</w:t>
      </w:r>
      <w:r w:rsidR="00974236" w:rsidRPr="00E77558">
        <w:rPr>
          <w:rFonts w:ascii="Garamond" w:hAnsi="Garamond"/>
        </w:rPr>
        <w:t xml:space="preserve"> distinct from the experience she enjoys when hallucinating, the evidence that is available to her on </w:t>
      </w:r>
      <w:r w:rsidR="00AD1F39" w:rsidRPr="00E77558">
        <w:rPr>
          <w:rFonts w:ascii="Garamond" w:hAnsi="Garamond"/>
        </w:rPr>
        <w:t>each</w:t>
      </w:r>
      <w:r w:rsidR="00974236" w:rsidRPr="00E77558">
        <w:rPr>
          <w:rFonts w:ascii="Garamond" w:hAnsi="Garamond"/>
        </w:rPr>
        <w:t xml:space="preserve"> occasion will</w:t>
      </w:r>
      <w:r w:rsidRPr="00E77558">
        <w:rPr>
          <w:rFonts w:ascii="Garamond" w:hAnsi="Garamond"/>
        </w:rPr>
        <w:t xml:space="preserve"> </w:t>
      </w:r>
      <w:r w:rsidR="00974236" w:rsidRPr="00E77558">
        <w:rPr>
          <w:rFonts w:ascii="Garamond" w:hAnsi="Garamond"/>
        </w:rPr>
        <w:t xml:space="preserve">be different. </w:t>
      </w:r>
      <w:r w:rsidR="00EE6E4D" w:rsidRPr="00E77558">
        <w:rPr>
          <w:rFonts w:ascii="Garamond" w:hAnsi="Garamond"/>
        </w:rPr>
        <w:t xml:space="preserve">Like the standard externalist, the </w:t>
      </w:r>
      <w:proofErr w:type="spellStart"/>
      <w:r w:rsidR="00DC6E5E" w:rsidRPr="00E77558">
        <w:rPr>
          <w:rFonts w:ascii="Garamond" w:hAnsi="Garamond"/>
        </w:rPr>
        <w:t>disjunctivist</w:t>
      </w:r>
      <w:proofErr w:type="spellEnd"/>
      <w:r w:rsidR="00DC6E5E" w:rsidRPr="00E77558">
        <w:rPr>
          <w:rFonts w:ascii="Garamond" w:hAnsi="Garamond"/>
        </w:rPr>
        <w:t xml:space="preserve"> argue</w:t>
      </w:r>
      <w:r w:rsidR="00E91A9C" w:rsidRPr="00E77558">
        <w:rPr>
          <w:rFonts w:ascii="Garamond" w:hAnsi="Garamond"/>
        </w:rPr>
        <w:t>s</w:t>
      </w:r>
      <w:r w:rsidR="00DC6E5E" w:rsidRPr="00E77558">
        <w:rPr>
          <w:rFonts w:ascii="Garamond" w:hAnsi="Garamond"/>
        </w:rPr>
        <w:t xml:space="preserve"> that in the good case, the subject possesses justification that she lacks in the bad case. So, like the standard externalist, the disjunctivist </w:t>
      </w:r>
      <w:r w:rsidR="00EE3B26" w:rsidRPr="00E77558">
        <w:rPr>
          <w:rFonts w:ascii="Garamond" w:hAnsi="Garamond"/>
        </w:rPr>
        <w:t>secures</w:t>
      </w:r>
      <w:r w:rsidRPr="00E77558">
        <w:rPr>
          <w:rFonts w:ascii="Garamond" w:hAnsi="Garamond"/>
        </w:rPr>
        <w:t xml:space="preserve"> the</w:t>
      </w:r>
      <w:r w:rsidR="00FA610B" w:rsidRPr="00E77558">
        <w:rPr>
          <w:rFonts w:ascii="Garamond" w:hAnsi="Garamond"/>
        </w:rPr>
        <w:t xml:space="preserve"> value of </w:t>
      </w:r>
      <w:r w:rsidR="00EE3B26" w:rsidRPr="00E77558">
        <w:rPr>
          <w:rFonts w:ascii="Garamond" w:hAnsi="Garamond"/>
        </w:rPr>
        <w:t>truth and knowledge</w:t>
      </w:r>
      <w:r w:rsidR="00FA610B" w:rsidRPr="00E77558">
        <w:rPr>
          <w:rFonts w:ascii="Garamond" w:hAnsi="Garamond"/>
        </w:rPr>
        <w:t xml:space="preserve">. </w:t>
      </w:r>
      <w:r w:rsidR="00DC6E5E" w:rsidRPr="00E77558">
        <w:rPr>
          <w:rFonts w:ascii="Garamond" w:hAnsi="Garamond"/>
        </w:rPr>
        <w:t xml:space="preserve">But crucially, this </w:t>
      </w:r>
      <w:r w:rsidR="00FA610B" w:rsidRPr="00E77558">
        <w:rPr>
          <w:rFonts w:ascii="Garamond" w:hAnsi="Garamond"/>
        </w:rPr>
        <w:t xml:space="preserve">should not be taken as </w:t>
      </w:r>
      <w:r w:rsidR="00DC6E5E" w:rsidRPr="00E77558">
        <w:rPr>
          <w:rFonts w:ascii="Garamond" w:hAnsi="Garamond"/>
        </w:rPr>
        <w:t xml:space="preserve">privileging truth as an epistemic value </w:t>
      </w:r>
      <w:r w:rsidR="00DC6E5E" w:rsidRPr="00E77558">
        <w:rPr>
          <w:rFonts w:ascii="Garamond" w:hAnsi="Garamond"/>
          <w:i/>
          <w:iCs/>
        </w:rPr>
        <w:t>over</w:t>
      </w:r>
      <w:r w:rsidR="00DC6E5E" w:rsidRPr="00E77558">
        <w:rPr>
          <w:rFonts w:ascii="Garamond" w:hAnsi="Garamond"/>
        </w:rPr>
        <w:t xml:space="preserve"> rationality. Rather, </w:t>
      </w:r>
      <w:r w:rsidR="00FA610B" w:rsidRPr="00E77558">
        <w:rPr>
          <w:rFonts w:ascii="Garamond" w:hAnsi="Garamond"/>
        </w:rPr>
        <w:t xml:space="preserve">the view </w:t>
      </w:r>
      <w:r w:rsidR="00FA610B" w:rsidRPr="00E77558">
        <w:rPr>
          <w:rFonts w:ascii="Garamond" w:hAnsi="Garamond"/>
          <w:i/>
          <w:iCs/>
        </w:rPr>
        <w:t xml:space="preserve">also </w:t>
      </w:r>
      <w:r w:rsidR="00FA610B" w:rsidRPr="00E77558">
        <w:rPr>
          <w:rFonts w:ascii="Garamond" w:hAnsi="Garamond"/>
        </w:rPr>
        <w:t>makes room for</w:t>
      </w:r>
      <w:r w:rsidR="00DC6E5E" w:rsidRPr="00E77558">
        <w:rPr>
          <w:rFonts w:ascii="Garamond" w:hAnsi="Garamond"/>
        </w:rPr>
        <w:t xml:space="preserve"> a modified version of the epistemic value of rationality. </w:t>
      </w:r>
      <w:r w:rsidR="00EE3B26" w:rsidRPr="00E77558">
        <w:rPr>
          <w:rFonts w:ascii="Garamond" w:hAnsi="Garamond"/>
        </w:rPr>
        <w:t xml:space="preserve">On </w:t>
      </w:r>
      <w:proofErr w:type="spellStart"/>
      <w:r w:rsidR="00EE3B26" w:rsidRPr="00E77558">
        <w:rPr>
          <w:rFonts w:ascii="Garamond" w:hAnsi="Garamond"/>
        </w:rPr>
        <w:t>disjunctivism</w:t>
      </w:r>
      <w:proofErr w:type="spellEnd"/>
      <w:r w:rsidR="00EE3B26" w:rsidRPr="00E77558">
        <w:rPr>
          <w:rFonts w:ascii="Garamond" w:hAnsi="Garamond"/>
        </w:rPr>
        <w:t xml:space="preserve">, </w:t>
      </w:r>
      <w:r w:rsidRPr="00E77558">
        <w:rPr>
          <w:rFonts w:ascii="Garamond" w:hAnsi="Garamond"/>
        </w:rPr>
        <w:t>a subject is justified just in case she believes what it is reasonable to believe in light of the evidence that is accessible to her</w:t>
      </w:r>
      <w:r w:rsidR="00FA610B" w:rsidRPr="00E77558">
        <w:rPr>
          <w:rFonts w:ascii="Garamond" w:hAnsi="Garamond"/>
        </w:rPr>
        <w:t xml:space="preserve">. In the good case, the subject is justified in believing that the world is some way, not because of some extrinsic fact about the experience’s </w:t>
      </w:r>
      <w:r w:rsidRPr="00E77558">
        <w:rPr>
          <w:rFonts w:ascii="Garamond" w:hAnsi="Garamond"/>
        </w:rPr>
        <w:t>etiology</w:t>
      </w:r>
      <w:r w:rsidR="00FA610B" w:rsidRPr="00E77558">
        <w:rPr>
          <w:rFonts w:ascii="Garamond" w:hAnsi="Garamond"/>
        </w:rPr>
        <w:t xml:space="preserve">, but </w:t>
      </w:r>
      <w:r w:rsidR="00B53345" w:rsidRPr="00E77558">
        <w:rPr>
          <w:rFonts w:ascii="Garamond" w:hAnsi="Garamond"/>
        </w:rPr>
        <w:t>simply because</w:t>
      </w:r>
      <w:r w:rsidR="00FA610B" w:rsidRPr="00E77558">
        <w:rPr>
          <w:rFonts w:ascii="Garamond" w:hAnsi="Garamond"/>
        </w:rPr>
        <w:t xml:space="preserve"> that is how </w:t>
      </w:r>
      <w:r w:rsidR="00B53345" w:rsidRPr="00E77558">
        <w:rPr>
          <w:rFonts w:ascii="Garamond" w:hAnsi="Garamond"/>
        </w:rPr>
        <w:t xml:space="preserve">the world seems to </w:t>
      </w:r>
      <w:r w:rsidRPr="00E77558">
        <w:rPr>
          <w:rFonts w:ascii="Garamond" w:hAnsi="Garamond"/>
        </w:rPr>
        <w:t>her to be</w:t>
      </w:r>
      <w:r w:rsidR="00B53345" w:rsidRPr="00E77558">
        <w:rPr>
          <w:rFonts w:ascii="Garamond" w:hAnsi="Garamond"/>
        </w:rPr>
        <w:t xml:space="preserve">. </w:t>
      </w:r>
      <w:r w:rsidR="00DC6E5E" w:rsidRPr="00E77558">
        <w:rPr>
          <w:rFonts w:ascii="Garamond" w:hAnsi="Garamond"/>
        </w:rPr>
        <w:t xml:space="preserve"> </w:t>
      </w:r>
      <w:r w:rsidR="00B53345" w:rsidRPr="00E77558">
        <w:rPr>
          <w:rFonts w:ascii="Garamond" w:hAnsi="Garamond"/>
        </w:rPr>
        <w:t>In anchoring the notion of justification to what is subjectively available to the agent, the disjunctivist</w:t>
      </w:r>
      <w:r w:rsidR="00DC6E5E" w:rsidRPr="00E77558">
        <w:rPr>
          <w:rFonts w:ascii="Garamond" w:hAnsi="Garamond"/>
        </w:rPr>
        <w:t xml:space="preserve"> values rationality</w:t>
      </w:r>
      <w:r w:rsidRPr="00E77558">
        <w:rPr>
          <w:rFonts w:ascii="Garamond" w:hAnsi="Garamond"/>
        </w:rPr>
        <w:t xml:space="preserve"> </w:t>
      </w:r>
      <w:r w:rsidR="00DC6E5E" w:rsidRPr="00E77558">
        <w:rPr>
          <w:rFonts w:ascii="Garamond" w:hAnsi="Garamond"/>
        </w:rPr>
        <w:t xml:space="preserve">just as much as </w:t>
      </w:r>
      <w:r w:rsidR="00EE3B26" w:rsidRPr="00E77558">
        <w:rPr>
          <w:rFonts w:ascii="Garamond" w:hAnsi="Garamond"/>
        </w:rPr>
        <w:t>knowledge</w:t>
      </w:r>
      <w:r w:rsidR="00DC6E5E" w:rsidRPr="00E77558">
        <w:rPr>
          <w:rFonts w:ascii="Garamond" w:hAnsi="Garamond"/>
        </w:rPr>
        <w:t xml:space="preserve">. </w:t>
      </w:r>
      <w:r w:rsidR="00B53345" w:rsidRPr="00E77558">
        <w:rPr>
          <w:rFonts w:ascii="Garamond" w:hAnsi="Garamond"/>
        </w:rPr>
        <w:t xml:space="preserve">She secures this role for rationality precisely </w:t>
      </w:r>
      <w:r w:rsidR="00DC6E5E" w:rsidRPr="00E77558">
        <w:rPr>
          <w:rFonts w:ascii="Garamond" w:hAnsi="Garamond"/>
        </w:rPr>
        <w:t xml:space="preserve">by rejecting the </w:t>
      </w:r>
      <w:r w:rsidR="00B53345" w:rsidRPr="00E77558">
        <w:rPr>
          <w:rFonts w:ascii="Garamond" w:hAnsi="Garamond"/>
        </w:rPr>
        <w:t xml:space="preserve">faulty </w:t>
      </w:r>
      <w:r w:rsidR="00EE3B26" w:rsidRPr="00E77558">
        <w:rPr>
          <w:rFonts w:ascii="Garamond" w:hAnsi="Garamond"/>
        </w:rPr>
        <w:t>assumption</w:t>
      </w:r>
      <w:r w:rsidR="00B53345" w:rsidRPr="00E77558">
        <w:rPr>
          <w:rFonts w:ascii="Garamond" w:hAnsi="Garamond"/>
        </w:rPr>
        <w:t xml:space="preserve"> that the</w:t>
      </w:r>
      <w:r w:rsidR="00DC6E5E" w:rsidRPr="00E77558">
        <w:rPr>
          <w:rFonts w:ascii="Garamond" w:hAnsi="Garamond"/>
        </w:rPr>
        <w:t xml:space="preserve"> subject must be in the same justificatory situation in both good and bad cases, on the grounds that this leaves the subject with no justification at all. </w:t>
      </w:r>
    </w:p>
    <w:p w14:paraId="341518AF" w14:textId="1574E83E" w:rsidR="00B53345" w:rsidRPr="00E77558" w:rsidRDefault="00B53345" w:rsidP="00036B13">
      <w:pPr>
        <w:rPr>
          <w:rFonts w:ascii="Garamond" w:hAnsi="Garamond"/>
        </w:rPr>
      </w:pPr>
    </w:p>
    <w:p w14:paraId="40FE5463" w14:textId="4996D410" w:rsidR="00670BFA" w:rsidRPr="00E77558" w:rsidRDefault="00670BFA" w:rsidP="00670BFA">
      <w:pPr>
        <w:jc w:val="center"/>
        <w:rPr>
          <w:rFonts w:ascii="Garamond" w:hAnsi="Garamond"/>
        </w:rPr>
      </w:pPr>
      <w:r w:rsidRPr="00E77558">
        <w:rPr>
          <w:rFonts w:ascii="Garamond" w:hAnsi="Garamond"/>
        </w:rPr>
        <w:t>References</w:t>
      </w:r>
    </w:p>
    <w:p w14:paraId="3A5252B6" w14:textId="033BF559" w:rsidR="00670BFA" w:rsidRPr="00E77558" w:rsidRDefault="00670BFA" w:rsidP="00670BFA">
      <w:pPr>
        <w:jc w:val="center"/>
        <w:rPr>
          <w:rFonts w:ascii="Garamond" w:hAnsi="Garamond"/>
        </w:rPr>
      </w:pPr>
    </w:p>
    <w:p w14:paraId="590474A0" w14:textId="49C34E73" w:rsidR="00670BFA" w:rsidRPr="00670BFA" w:rsidRDefault="00670BFA" w:rsidP="00670BFA">
      <w:pPr>
        <w:rPr>
          <w:rFonts w:ascii="Garamond" w:eastAsia="Times New Roman" w:hAnsi="Garamond" w:cs="Times New Roman"/>
        </w:rPr>
      </w:pPr>
      <w:r w:rsidRPr="00E77558">
        <w:rPr>
          <w:rFonts w:ascii="Garamond" w:eastAsia="Times New Roman" w:hAnsi="Garamond" w:cs="Times New Roman"/>
          <w:color w:val="1A1A1A"/>
          <w:shd w:val="clear" w:color="auto" w:fill="FFFFFF"/>
        </w:rPr>
        <w:t xml:space="preserve">Putnam, H. </w:t>
      </w:r>
      <w:r w:rsidRPr="00670BFA">
        <w:rPr>
          <w:rFonts w:ascii="Garamond" w:eastAsia="Times New Roman" w:hAnsi="Garamond" w:cs="Times New Roman"/>
          <w:color w:val="1A1A1A"/>
          <w:shd w:val="clear" w:color="auto" w:fill="FFFFFF"/>
        </w:rPr>
        <w:t>1981</w:t>
      </w:r>
      <w:r w:rsidRPr="00E77558">
        <w:rPr>
          <w:rFonts w:ascii="Garamond" w:eastAsia="Times New Roman" w:hAnsi="Garamond" w:cs="Times New Roman"/>
          <w:color w:val="1A1A1A"/>
          <w:shd w:val="clear" w:color="auto" w:fill="FFFFFF"/>
        </w:rPr>
        <w:t xml:space="preserve">. </w:t>
      </w:r>
      <w:r w:rsidRPr="00670BFA">
        <w:rPr>
          <w:rFonts w:ascii="Garamond" w:eastAsia="Times New Roman" w:hAnsi="Garamond" w:cs="Times New Roman"/>
          <w:color w:val="1A1A1A"/>
          <w:shd w:val="clear" w:color="auto" w:fill="FFFFFF"/>
        </w:rPr>
        <w:t>“Brains in a Vat”, in </w:t>
      </w:r>
      <w:r w:rsidRPr="00670BFA">
        <w:rPr>
          <w:rFonts w:ascii="Garamond" w:eastAsia="Times New Roman" w:hAnsi="Garamond" w:cs="Times New Roman"/>
          <w:i/>
          <w:iCs/>
          <w:color w:val="1A1A1A"/>
          <w:shd w:val="clear" w:color="auto" w:fill="FFFFFF"/>
        </w:rPr>
        <w:t>Reason, Truth, and History</w:t>
      </w:r>
      <w:r w:rsidRPr="00670BFA">
        <w:rPr>
          <w:rFonts w:ascii="Garamond" w:eastAsia="Times New Roman" w:hAnsi="Garamond" w:cs="Times New Roman"/>
          <w:color w:val="1A1A1A"/>
          <w:shd w:val="clear" w:color="auto" w:fill="FFFFFF"/>
        </w:rPr>
        <w:t>, Cambridge: Cambridge University Press, 1–21</w:t>
      </w:r>
      <w:r w:rsidRPr="00E77558">
        <w:rPr>
          <w:rFonts w:ascii="Garamond" w:eastAsia="Times New Roman" w:hAnsi="Garamond" w:cs="Times New Roman"/>
          <w:color w:val="1A1A1A"/>
          <w:shd w:val="clear" w:color="auto" w:fill="FFFFFF"/>
        </w:rPr>
        <w:t>.</w:t>
      </w:r>
    </w:p>
    <w:p w14:paraId="2E401A05" w14:textId="14A6342E" w:rsidR="00670BFA" w:rsidRPr="00E77558" w:rsidRDefault="00670BFA" w:rsidP="00670BFA">
      <w:pPr>
        <w:rPr>
          <w:rFonts w:ascii="Garamond" w:hAnsi="Garamond"/>
        </w:rPr>
      </w:pPr>
    </w:p>
    <w:p w14:paraId="7F102539" w14:textId="727BD961" w:rsidR="00670BFA" w:rsidRPr="00670BFA" w:rsidRDefault="00670BFA" w:rsidP="00670BFA">
      <w:pPr>
        <w:rPr>
          <w:rFonts w:ascii="Garamond" w:eastAsia="Times New Roman" w:hAnsi="Garamond" w:cs="Times New Roman"/>
        </w:rPr>
      </w:pPr>
      <w:r w:rsidRPr="00670BFA">
        <w:rPr>
          <w:rFonts w:ascii="Garamond" w:eastAsia="Times New Roman" w:hAnsi="Garamond" w:cs="Open Sans"/>
          <w:color w:val="333333"/>
          <w:shd w:val="clear" w:color="auto" w:fill="FFFFFF"/>
        </w:rPr>
        <w:t xml:space="preserve">McDowell, </w:t>
      </w:r>
      <w:r w:rsidRPr="00E77558">
        <w:rPr>
          <w:rFonts w:ascii="Garamond" w:eastAsia="Times New Roman" w:hAnsi="Garamond" w:cs="Open Sans"/>
          <w:color w:val="333333"/>
          <w:shd w:val="clear" w:color="auto" w:fill="FFFFFF"/>
        </w:rPr>
        <w:t xml:space="preserve">J. </w:t>
      </w:r>
      <w:r w:rsidRPr="00670BFA">
        <w:rPr>
          <w:rFonts w:ascii="Garamond" w:eastAsia="Times New Roman" w:hAnsi="Garamond" w:cs="Open Sans"/>
          <w:color w:val="333333"/>
          <w:shd w:val="clear" w:color="auto" w:fill="FFFFFF"/>
        </w:rPr>
        <w:t xml:space="preserve">1986. </w:t>
      </w:r>
      <w:r w:rsidRPr="00E77558">
        <w:rPr>
          <w:rFonts w:ascii="Garamond" w:eastAsia="Times New Roman" w:hAnsi="Garamond" w:cs="Open Sans"/>
          <w:color w:val="333333"/>
          <w:shd w:val="clear" w:color="auto" w:fill="FFFFFF"/>
        </w:rPr>
        <w:t>“</w:t>
      </w:r>
      <w:r w:rsidRPr="00670BFA">
        <w:rPr>
          <w:rFonts w:ascii="Garamond" w:eastAsia="Times New Roman" w:hAnsi="Garamond" w:cs="Open Sans"/>
          <w:color w:val="333333"/>
          <w:shd w:val="clear" w:color="auto" w:fill="FFFFFF"/>
        </w:rPr>
        <w:t>Singular thought and the extent of 'inner space</w:t>
      </w:r>
      <w:r w:rsidRPr="00E77558">
        <w:rPr>
          <w:rFonts w:ascii="Garamond" w:eastAsia="Times New Roman" w:hAnsi="Garamond" w:cs="Open Sans"/>
          <w:color w:val="333333"/>
          <w:shd w:val="clear" w:color="auto" w:fill="FFFFFF"/>
        </w:rPr>
        <w:t>.”</w:t>
      </w:r>
      <w:r w:rsidRPr="00670BFA">
        <w:rPr>
          <w:rFonts w:ascii="Garamond" w:eastAsia="Times New Roman" w:hAnsi="Garamond" w:cs="Open Sans"/>
          <w:color w:val="333333"/>
          <w:shd w:val="clear" w:color="auto" w:fill="FFFFFF"/>
        </w:rPr>
        <w:t xml:space="preserve"> In John McDowell &amp; Philip Pettit (</w:t>
      </w:r>
      <w:r w:rsidRPr="00E77558">
        <w:rPr>
          <w:rFonts w:ascii="Garamond" w:eastAsia="Times New Roman" w:hAnsi="Garamond" w:cs="Open Sans"/>
          <w:color w:val="333333"/>
          <w:shd w:val="clear" w:color="auto" w:fill="FFFFFF"/>
        </w:rPr>
        <w:t>E</w:t>
      </w:r>
      <w:r w:rsidRPr="00670BFA">
        <w:rPr>
          <w:rFonts w:ascii="Garamond" w:eastAsia="Times New Roman" w:hAnsi="Garamond" w:cs="Open Sans"/>
          <w:color w:val="333333"/>
          <w:shd w:val="clear" w:color="auto" w:fill="FFFFFF"/>
        </w:rPr>
        <w:t>ds.), </w:t>
      </w:r>
      <w:r w:rsidRPr="00670BFA">
        <w:rPr>
          <w:rFonts w:ascii="Garamond" w:eastAsia="Times New Roman" w:hAnsi="Garamond" w:cs="Open Sans"/>
          <w:i/>
          <w:iCs/>
          <w:color w:val="333333"/>
          <w:shd w:val="clear" w:color="auto" w:fill="FFFFFF"/>
        </w:rPr>
        <w:t>Subject, Thought, and Context</w:t>
      </w:r>
      <w:r w:rsidRPr="00670BFA">
        <w:rPr>
          <w:rFonts w:ascii="Garamond" w:eastAsia="Times New Roman" w:hAnsi="Garamond" w:cs="Open Sans"/>
          <w:color w:val="333333"/>
          <w:shd w:val="clear" w:color="auto" w:fill="FFFFFF"/>
        </w:rPr>
        <w:t>. Clarendon Press</w:t>
      </w:r>
      <w:r w:rsidR="00D31F30" w:rsidRPr="00E77558">
        <w:rPr>
          <w:rFonts w:ascii="Garamond" w:eastAsia="Times New Roman" w:hAnsi="Garamond" w:cs="Open Sans"/>
          <w:color w:val="333333"/>
          <w:shd w:val="clear" w:color="auto" w:fill="FFFFFF"/>
        </w:rPr>
        <w:t>, 137-168.</w:t>
      </w:r>
    </w:p>
    <w:p w14:paraId="472C7A63" w14:textId="77777777" w:rsidR="00670BFA" w:rsidRPr="00E77558" w:rsidRDefault="00670BFA" w:rsidP="00670BFA">
      <w:pPr>
        <w:rPr>
          <w:rFonts w:ascii="Garamond" w:hAnsi="Garamond"/>
        </w:rPr>
      </w:pPr>
    </w:p>
    <w:sectPr w:rsidR="00670BFA" w:rsidRPr="00E77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3BC4" w14:textId="77777777" w:rsidR="008A40BC" w:rsidRDefault="008A40BC" w:rsidP="001B6B98">
      <w:r>
        <w:separator/>
      </w:r>
    </w:p>
  </w:endnote>
  <w:endnote w:type="continuationSeparator" w:id="0">
    <w:p w14:paraId="6147AE48" w14:textId="77777777" w:rsidR="008A40BC" w:rsidRDefault="008A40BC" w:rsidP="001B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D8EDF" w14:textId="77777777" w:rsidR="008A40BC" w:rsidRDefault="008A40BC" w:rsidP="001B6B98">
      <w:r>
        <w:separator/>
      </w:r>
    </w:p>
  </w:footnote>
  <w:footnote w:type="continuationSeparator" w:id="0">
    <w:p w14:paraId="399C5BEE" w14:textId="77777777" w:rsidR="008A40BC" w:rsidRDefault="008A40BC" w:rsidP="001B6B98">
      <w:r>
        <w:continuationSeparator/>
      </w:r>
    </w:p>
  </w:footnote>
  <w:footnote w:id="1">
    <w:p w14:paraId="4ECBA351" w14:textId="1676086A" w:rsidR="003052B2" w:rsidRPr="003052B2" w:rsidRDefault="003052B2">
      <w:pPr>
        <w:pStyle w:val="FootnoteText"/>
        <w:rPr>
          <w:rFonts w:ascii="Garamond" w:hAnsi="Garamond"/>
          <w:sz w:val="22"/>
          <w:szCs w:val="22"/>
        </w:rPr>
      </w:pPr>
      <w:r w:rsidRPr="003052B2">
        <w:rPr>
          <w:rStyle w:val="FootnoteReference"/>
          <w:rFonts w:ascii="Garamond" w:hAnsi="Garamond"/>
          <w:sz w:val="22"/>
          <w:szCs w:val="22"/>
        </w:rPr>
        <w:footnoteRef/>
      </w:r>
      <w:r w:rsidRPr="003052B2">
        <w:rPr>
          <w:rFonts w:ascii="Garamond" w:hAnsi="Garamond"/>
          <w:sz w:val="22"/>
          <w:szCs w:val="22"/>
        </w:rPr>
        <w:t xml:space="preserve"> </w:t>
      </w:r>
      <w:r w:rsidR="00D31F30">
        <w:rPr>
          <w:rFonts w:ascii="Garamond" w:hAnsi="Garamond"/>
          <w:sz w:val="22"/>
          <w:szCs w:val="22"/>
          <w:lang w:val="en-GB"/>
        </w:rPr>
        <w:t>Wright (this volume), 2</w:t>
      </w:r>
      <w:r w:rsidRPr="003052B2">
        <w:rPr>
          <w:rFonts w:ascii="Garamond" w:hAnsi="Garamond"/>
          <w:sz w:val="22"/>
          <w:szCs w:val="22"/>
          <w:lang w:val="en-GB"/>
        </w:rPr>
        <w:t>, my emphasis</w:t>
      </w:r>
      <w:r w:rsidRPr="003052B2">
        <w:rPr>
          <w:rFonts w:ascii="Garamond" w:hAnsi="Garamond"/>
          <w:sz w:val="22"/>
          <w:szCs w:val="22"/>
          <w:lang w:val="en-GB"/>
        </w:rPr>
        <w:t>.</w:t>
      </w:r>
    </w:p>
  </w:footnote>
  <w:footnote w:id="2">
    <w:p w14:paraId="43F81592" w14:textId="2D948B43" w:rsidR="003052B2" w:rsidRPr="003052B2" w:rsidRDefault="003052B2" w:rsidP="003052B2">
      <w:pPr>
        <w:pStyle w:val="FootnoteText"/>
        <w:tabs>
          <w:tab w:val="left" w:pos="1203"/>
        </w:tabs>
        <w:rPr>
          <w:rFonts w:ascii="Garamond" w:hAnsi="Garamond"/>
          <w:sz w:val="22"/>
          <w:szCs w:val="22"/>
        </w:rPr>
      </w:pPr>
      <w:r w:rsidRPr="003052B2">
        <w:rPr>
          <w:rStyle w:val="FootnoteReference"/>
          <w:rFonts w:ascii="Garamond" w:hAnsi="Garamond"/>
          <w:sz w:val="22"/>
          <w:szCs w:val="22"/>
        </w:rPr>
        <w:footnoteRef/>
      </w:r>
      <w:r w:rsidRPr="003052B2">
        <w:rPr>
          <w:rFonts w:ascii="Garamond" w:hAnsi="Garamond"/>
          <w:sz w:val="22"/>
          <w:szCs w:val="22"/>
        </w:rPr>
        <w:t xml:space="preserve"> </w:t>
      </w:r>
      <w:r w:rsidR="00D31F30">
        <w:rPr>
          <w:rFonts w:ascii="Garamond" w:hAnsi="Garamond"/>
          <w:sz w:val="22"/>
          <w:szCs w:val="22"/>
        </w:rPr>
        <w:t>Wright (this volume, 11)</w:t>
      </w:r>
      <w:r w:rsidRPr="003052B2">
        <w:rPr>
          <w:rFonts w:ascii="Garamond" w:hAnsi="Garamond"/>
          <w:sz w:val="22"/>
          <w:szCs w:val="22"/>
        </w:rPr>
        <w:t xml:space="preserve">. </w:t>
      </w:r>
      <w:r w:rsidRPr="003052B2">
        <w:rPr>
          <w:rFonts w:ascii="Garamond" w:hAnsi="Garamond"/>
          <w:sz w:val="22"/>
          <w:szCs w:val="22"/>
        </w:rPr>
        <w:tab/>
      </w:r>
    </w:p>
  </w:footnote>
  <w:footnote w:id="3">
    <w:p w14:paraId="373A593F" w14:textId="6AD07B43" w:rsidR="001B6B98" w:rsidRPr="003052B2" w:rsidRDefault="001B6B98">
      <w:pPr>
        <w:pStyle w:val="FootnoteText"/>
        <w:rPr>
          <w:rFonts w:ascii="Garamond" w:hAnsi="Garamond"/>
          <w:sz w:val="22"/>
          <w:szCs w:val="22"/>
        </w:rPr>
      </w:pPr>
      <w:r w:rsidRPr="003052B2">
        <w:rPr>
          <w:rStyle w:val="FootnoteReference"/>
          <w:rFonts w:ascii="Garamond" w:hAnsi="Garamond"/>
          <w:sz w:val="22"/>
          <w:szCs w:val="22"/>
        </w:rPr>
        <w:footnoteRef/>
      </w:r>
      <w:r w:rsidRPr="003052B2">
        <w:rPr>
          <w:rFonts w:ascii="Garamond" w:hAnsi="Garamond"/>
          <w:sz w:val="22"/>
          <w:szCs w:val="22"/>
        </w:rPr>
        <w:t xml:space="preserve"> Putnam</w:t>
      </w:r>
      <w:r w:rsidR="003052B2">
        <w:rPr>
          <w:rFonts w:ascii="Garamond" w:hAnsi="Garamond"/>
          <w:sz w:val="22"/>
          <w:szCs w:val="22"/>
        </w:rPr>
        <w:t xml:space="preserve"> (1981)</w:t>
      </w:r>
      <w:r w:rsidRPr="003052B2">
        <w:rPr>
          <w:rFonts w:ascii="Garamond" w:hAnsi="Garamond"/>
          <w:sz w:val="22"/>
          <w:szCs w:val="22"/>
        </w:rPr>
        <w:t>.</w:t>
      </w:r>
    </w:p>
  </w:footnote>
  <w:footnote w:id="4">
    <w:p w14:paraId="76BB8E23" w14:textId="3742B1A7" w:rsidR="00282C47" w:rsidRPr="003052B2" w:rsidRDefault="00282C47">
      <w:pPr>
        <w:pStyle w:val="FootnoteText"/>
        <w:rPr>
          <w:rFonts w:ascii="Garamond" w:hAnsi="Garamond"/>
          <w:sz w:val="22"/>
          <w:szCs w:val="22"/>
        </w:rPr>
      </w:pPr>
      <w:r w:rsidRPr="003052B2">
        <w:rPr>
          <w:rStyle w:val="FootnoteReference"/>
          <w:rFonts w:ascii="Garamond" w:hAnsi="Garamond"/>
          <w:sz w:val="22"/>
          <w:szCs w:val="22"/>
        </w:rPr>
        <w:footnoteRef/>
      </w:r>
      <w:r w:rsidRPr="003052B2">
        <w:rPr>
          <w:rFonts w:ascii="Garamond" w:hAnsi="Garamond"/>
          <w:sz w:val="22"/>
          <w:szCs w:val="22"/>
        </w:rPr>
        <w:t xml:space="preserve"> McDowell</w:t>
      </w:r>
      <w:r w:rsidR="00670BFA">
        <w:rPr>
          <w:rFonts w:ascii="Garamond" w:hAnsi="Garamond"/>
          <w:sz w:val="22"/>
          <w:szCs w:val="22"/>
        </w:rPr>
        <w:t xml:space="preserve"> (1986</w:t>
      </w:r>
      <w:r w:rsidRPr="003052B2">
        <w:rPr>
          <w:rFonts w:ascii="Garamond" w:hAnsi="Garamond"/>
          <w:sz w:val="22"/>
          <w:szCs w:val="22"/>
        </w:rPr>
        <w:t>, 152</w:t>
      </w:r>
      <w:r w:rsidR="00670BFA">
        <w:rPr>
          <w:rFonts w:ascii="Garamond" w:hAnsi="Garamond"/>
          <w:sz w:val="22"/>
          <w:szCs w:val="22"/>
        </w:rPr>
        <w:t xml:space="preserve">). </w:t>
      </w:r>
    </w:p>
  </w:footnote>
  <w:footnote w:id="5">
    <w:p w14:paraId="54127A11" w14:textId="6F586F91" w:rsidR="004D513B" w:rsidRPr="003052B2" w:rsidRDefault="004D513B">
      <w:pPr>
        <w:pStyle w:val="FootnoteText"/>
        <w:rPr>
          <w:rFonts w:ascii="Garamond" w:hAnsi="Garamond"/>
          <w:sz w:val="22"/>
          <w:szCs w:val="22"/>
        </w:rPr>
      </w:pPr>
      <w:r w:rsidRPr="003052B2">
        <w:rPr>
          <w:rStyle w:val="FootnoteReference"/>
          <w:rFonts w:ascii="Garamond" w:hAnsi="Garamond"/>
          <w:sz w:val="22"/>
          <w:szCs w:val="22"/>
        </w:rPr>
        <w:footnoteRef/>
      </w:r>
      <w:r w:rsidRPr="003052B2">
        <w:rPr>
          <w:rFonts w:ascii="Garamond" w:hAnsi="Garamond"/>
          <w:sz w:val="22"/>
          <w:szCs w:val="22"/>
        </w:rPr>
        <w:t xml:space="preserve"> Though how beliefs formed on the basis of “blind” experience can themselves be not blind or blank is a further problem that such externalists face.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EC"/>
    <w:rsid w:val="00003495"/>
    <w:rsid w:val="00006636"/>
    <w:rsid w:val="0000702A"/>
    <w:rsid w:val="000345F3"/>
    <w:rsid w:val="00036B13"/>
    <w:rsid w:val="000A2ECC"/>
    <w:rsid w:val="000E619F"/>
    <w:rsid w:val="000F314D"/>
    <w:rsid w:val="00106FCF"/>
    <w:rsid w:val="0016009A"/>
    <w:rsid w:val="001818F1"/>
    <w:rsid w:val="001B6B98"/>
    <w:rsid w:val="001C5D51"/>
    <w:rsid w:val="001D3293"/>
    <w:rsid w:val="001D4FF4"/>
    <w:rsid w:val="001E5714"/>
    <w:rsid w:val="001F64F8"/>
    <w:rsid w:val="00214044"/>
    <w:rsid w:val="00217F1C"/>
    <w:rsid w:val="002210EA"/>
    <w:rsid w:val="00242F5E"/>
    <w:rsid w:val="002742E5"/>
    <w:rsid w:val="00282C47"/>
    <w:rsid w:val="0029350C"/>
    <w:rsid w:val="002B4958"/>
    <w:rsid w:val="003052B2"/>
    <w:rsid w:val="00325D2D"/>
    <w:rsid w:val="003948C9"/>
    <w:rsid w:val="003A3EB2"/>
    <w:rsid w:val="003C3D2C"/>
    <w:rsid w:val="003C6861"/>
    <w:rsid w:val="003C7876"/>
    <w:rsid w:val="003F7D97"/>
    <w:rsid w:val="004125B8"/>
    <w:rsid w:val="00415AC5"/>
    <w:rsid w:val="00446895"/>
    <w:rsid w:val="00451B67"/>
    <w:rsid w:val="004D513B"/>
    <w:rsid w:val="004E0E1B"/>
    <w:rsid w:val="005222B9"/>
    <w:rsid w:val="00615D2A"/>
    <w:rsid w:val="0063647B"/>
    <w:rsid w:val="00670BFA"/>
    <w:rsid w:val="006C0008"/>
    <w:rsid w:val="006E4E2A"/>
    <w:rsid w:val="00733B8B"/>
    <w:rsid w:val="007443CB"/>
    <w:rsid w:val="00760314"/>
    <w:rsid w:val="007B78E0"/>
    <w:rsid w:val="00812A5C"/>
    <w:rsid w:val="00842567"/>
    <w:rsid w:val="008440BF"/>
    <w:rsid w:val="00845F74"/>
    <w:rsid w:val="0085030C"/>
    <w:rsid w:val="0085303F"/>
    <w:rsid w:val="00887BD2"/>
    <w:rsid w:val="008A06D6"/>
    <w:rsid w:val="008A40BC"/>
    <w:rsid w:val="008A60DC"/>
    <w:rsid w:val="008B2130"/>
    <w:rsid w:val="008C0835"/>
    <w:rsid w:val="008D37A3"/>
    <w:rsid w:val="00912F85"/>
    <w:rsid w:val="00931F5C"/>
    <w:rsid w:val="00944793"/>
    <w:rsid w:val="009555C7"/>
    <w:rsid w:val="00974236"/>
    <w:rsid w:val="00976B61"/>
    <w:rsid w:val="009954FC"/>
    <w:rsid w:val="009A78B4"/>
    <w:rsid w:val="009E29E4"/>
    <w:rsid w:val="00A23990"/>
    <w:rsid w:val="00A56E37"/>
    <w:rsid w:val="00A842BB"/>
    <w:rsid w:val="00AC4419"/>
    <w:rsid w:val="00AD1F39"/>
    <w:rsid w:val="00AD704F"/>
    <w:rsid w:val="00B46539"/>
    <w:rsid w:val="00B53345"/>
    <w:rsid w:val="00B82D4B"/>
    <w:rsid w:val="00B83080"/>
    <w:rsid w:val="00BC74BC"/>
    <w:rsid w:val="00BF57EC"/>
    <w:rsid w:val="00C26754"/>
    <w:rsid w:val="00C64778"/>
    <w:rsid w:val="00C67B3C"/>
    <w:rsid w:val="00C93BED"/>
    <w:rsid w:val="00CB4885"/>
    <w:rsid w:val="00CB532B"/>
    <w:rsid w:val="00CE2235"/>
    <w:rsid w:val="00D31F30"/>
    <w:rsid w:val="00D3207D"/>
    <w:rsid w:val="00D8088F"/>
    <w:rsid w:val="00D81670"/>
    <w:rsid w:val="00D85162"/>
    <w:rsid w:val="00DC6E5E"/>
    <w:rsid w:val="00DD51E7"/>
    <w:rsid w:val="00E77558"/>
    <w:rsid w:val="00E91A9C"/>
    <w:rsid w:val="00EA673C"/>
    <w:rsid w:val="00EE3B26"/>
    <w:rsid w:val="00EE6E4D"/>
    <w:rsid w:val="00EF1B12"/>
    <w:rsid w:val="00EF1E38"/>
    <w:rsid w:val="00F01ACC"/>
    <w:rsid w:val="00F21896"/>
    <w:rsid w:val="00F25B72"/>
    <w:rsid w:val="00F30E8E"/>
    <w:rsid w:val="00F630BA"/>
    <w:rsid w:val="00FA2395"/>
    <w:rsid w:val="00FA610B"/>
    <w:rsid w:val="00FD333F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FF59732"/>
  <w15:chartTrackingRefBased/>
  <w15:docId w15:val="{5E83CAD7-B925-804A-8076-A0B15BFF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954FC"/>
  </w:style>
  <w:style w:type="paragraph" w:styleId="FootnoteText">
    <w:name w:val="footnote text"/>
    <w:basedOn w:val="Normal"/>
    <w:link w:val="FootnoteTextChar"/>
    <w:uiPriority w:val="99"/>
    <w:semiHidden/>
    <w:unhideWhenUsed/>
    <w:rsid w:val="001B6B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B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B98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70B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1538</Words>
  <Characters>7924</Characters>
  <Application>Microsoft Office Word</Application>
  <DocSecurity>0</DocSecurity>
  <Lines>108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2022-06-06T16:36:00Z</dcterms:created>
  <dcterms:modified xsi:type="dcterms:W3CDTF">2022-06-07T19:05:00Z</dcterms:modified>
</cp:coreProperties>
</file>